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b/>
          <w:bCs/>
          <w:sz w:val="40"/>
          <w:szCs w:val="40"/>
        </w:rPr>
      </w:pPr>
      <w:r>
        <w:rPr>
          <w:rFonts w:hint="eastAsia" w:cs="Times New Roman" w:asciiTheme="minorEastAsia" w:hAnsiTheme="minorEastAsia"/>
          <w:b/>
          <w:bCs/>
          <w:sz w:val="40"/>
          <w:szCs w:val="40"/>
        </w:rPr>
        <w:t>临床思维能力测评系统（CTA）介绍</w:t>
      </w:r>
    </w:p>
    <w:p>
      <w:pPr>
        <w:spacing w:before="156" w:beforeLines="50" w:line="600" w:lineRule="exact"/>
        <w:ind w:firstLine="640" w:firstLineChars="200"/>
        <w:outlineLvl w:val="0"/>
        <w:rPr>
          <w:rFonts w:ascii="仿宋" w:hAnsi="仿宋" w:eastAsia="仿宋" w:cs="Times New Roman"/>
          <w:sz w:val="32"/>
          <w:szCs w:val="32"/>
        </w:rPr>
      </w:pPr>
      <w:r>
        <w:rPr>
          <w:rFonts w:ascii="仿宋" w:hAnsi="仿宋" w:eastAsia="仿宋" w:cs="Times New Roman"/>
          <w:sz w:val="32"/>
          <w:szCs w:val="32"/>
        </w:rPr>
        <w:t>为有效评价考生的临床思维能力，国家医学考试中心充分借鉴国内外相关经验，经过临床、医学教育、心理测量和试题开发专家的</w:t>
      </w:r>
      <w:r>
        <w:rPr>
          <w:rFonts w:hint="eastAsia" w:ascii="仿宋" w:hAnsi="仿宋" w:eastAsia="仿宋" w:cs="Times New Roman"/>
          <w:sz w:val="32"/>
          <w:szCs w:val="32"/>
        </w:rPr>
        <w:t>深入</w:t>
      </w:r>
      <w:r>
        <w:rPr>
          <w:rFonts w:ascii="仿宋" w:hAnsi="仿宋" w:eastAsia="仿宋" w:cs="Times New Roman"/>
          <w:sz w:val="32"/>
          <w:szCs w:val="32"/>
        </w:rPr>
        <w:t>探讨，</w:t>
      </w:r>
      <w:r>
        <w:rPr>
          <w:rFonts w:hint="eastAsia" w:ascii="仿宋" w:hAnsi="仿宋" w:eastAsia="仿宋" w:cs="Times New Roman"/>
          <w:sz w:val="32"/>
          <w:szCs w:val="32"/>
        </w:rPr>
        <w:t>于2</w:t>
      </w:r>
      <w:r>
        <w:rPr>
          <w:rFonts w:ascii="仿宋" w:hAnsi="仿宋" w:eastAsia="仿宋" w:cs="Times New Roman"/>
          <w:sz w:val="32"/>
          <w:szCs w:val="32"/>
        </w:rPr>
        <w:t>017</w:t>
      </w:r>
      <w:r>
        <w:rPr>
          <w:rFonts w:hint="eastAsia" w:ascii="仿宋" w:hAnsi="仿宋" w:eastAsia="仿宋" w:cs="Times New Roman"/>
          <w:sz w:val="32"/>
          <w:szCs w:val="32"/>
        </w:rPr>
        <w:t>年自主研发了临床思维能力测评系统（CTA）。</w:t>
      </w:r>
      <w:r>
        <w:rPr>
          <w:rFonts w:ascii="仿宋" w:hAnsi="仿宋" w:eastAsia="仿宋" w:cs="Times New Roman"/>
          <w:sz w:val="32"/>
          <w:szCs w:val="32"/>
        </w:rPr>
        <w:t>CTA系统分为资料收集、资料分析、诊疗决策、病程决策四站，</w:t>
      </w:r>
      <w:r>
        <w:rPr>
          <w:rFonts w:hint="eastAsia" w:ascii="仿宋" w:hAnsi="仿宋" w:eastAsia="仿宋" w:cs="Times New Roman"/>
          <w:sz w:val="32"/>
          <w:szCs w:val="32"/>
        </w:rPr>
        <w:t>分别围绕获得病例信息、分析病例信息、病例诊疗决策、病情变化诊疗决策进行测评。除测评知识的掌握外，还重点测评获取信息能力、分析信息能力、诊疗决策能力及其隐含的理解、分析、综合、比较、概括、抽象、推理、论证、判断等一系列思维能力。对</w:t>
      </w:r>
      <w:r>
        <w:rPr>
          <w:rFonts w:ascii="仿宋" w:hAnsi="仿宋" w:eastAsia="仿宋" w:cs="Times New Roman"/>
          <w:sz w:val="32"/>
          <w:szCs w:val="32"/>
        </w:rPr>
        <w:t>医学人文</w:t>
      </w:r>
      <w:r>
        <w:rPr>
          <w:rFonts w:hint="eastAsia" w:ascii="仿宋" w:hAnsi="仿宋" w:eastAsia="仿宋" w:cs="Times New Roman"/>
          <w:sz w:val="32"/>
          <w:szCs w:val="32"/>
        </w:rPr>
        <w:t>的考核贯穿于</w:t>
      </w:r>
      <w:r>
        <w:rPr>
          <w:rFonts w:ascii="仿宋" w:hAnsi="仿宋" w:eastAsia="仿宋" w:cs="Times New Roman"/>
          <w:sz w:val="32"/>
          <w:szCs w:val="32"/>
        </w:rPr>
        <w:t>各站</w:t>
      </w:r>
      <w:r>
        <w:rPr>
          <w:rFonts w:hint="eastAsia" w:ascii="仿宋" w:hAnsi="仿宋" w:eastAsia="仿宋" w:cs="Times New Roman"/>
          <w:sz w:val="32"/>
          <w:szCs w:val="32"/>
        </w:rPr>
        <w:t>中</w:t>
      </w:r>
      <w:r>
        <w:rPr>
          <w:rFonts w:ascii="仿宋" w:hAnsi="仿宋" w:eastAsia="仿宋" w:cs="Times New Roman"/>
          <w:sz w:val="32"/>
          <w:szCs w:val="32"/>
        </w:rPr>
        <w:t>。</w:t>
      </w:r>
      <w:r>
        <w:rPr>
          <w:rFonts w:hint="eastAsia" w:ascii="仿宋" w:hAnsi="仿宋" w:eastAsia="仿宋" w:cs="Times New Roman"/>
          <w:sz w:val="32"/>
          <w:szCs w:val="32"/>
        </w:rPr>
        <w:t>每站的考核时间为15～20分钟，4个考站各有侧重的能力测评完成后，可较全面考核考生临床能力和思维能力。各站具体情况如下：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一、资料收集站（第一站）</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重点测评考生获得案例临床信息（症状、体征等）的能力。模拟门诊初诊的场景，采用人机对话的形式，计算机预设了病例相关的各种问诊答案，考生搜索想了解的问诊问题，计算机会提供相应的回答。考生按照自己的问诊思路进行模拟问诊，完成病史信息的采集。然后进入体格检查界面，考生选择希望检查的体格检查项目，计算机直接给出相应的检查结果。考生根据自己获得的症状学和体征学结果，作出病例初步诊断和鉴别诊断。</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二、资料分析站（第二站）</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重点测评考生在诊断和鉴别诊断中对病例的分析能力。本站模拟门诊复诊的场景，考生根据题干给出的病例资料（症状学、体征学资料）作出印象诊断。然后考生在计算机提供的实验室及辅助检查项目中选择重要的辅助检查项目，计算机提供相应的检查结果。考生根据检查结果作出初步诊断与鉴别诊断，并在病史资料和检查资料中选择初步诊断的依据以及鉴别诊断的支持依据和不支持依据。</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三、诊疗决策站（第三站）</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重点测评考生明确诊断及提出治疗方案的决策能力。本站模拟病人入院诊疗的场景，考生根据题干给定的病例资料作出诊断与鉴别诊断，在计算机提供的实验室及辅助检查中选择确诊和治疗所必需的进一步检查，然后考生根据检查结果作出该病例的最终诊断（全面诊断），并根据诊断制定该病例的治疗方案。</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四、病程决策站（第四站）</w:t>
      </w:r>
    </w:p>
    <w:p>
      <w:pPr>
        <w:spacing w:line="600" w:lineRule="exact"/>
        <w:ind w:firstLine="640" w:firstLineChars="200"/>
      </w:pPr>
      <w:r>
        <w:rPr>
          <w:rFonts w:hint="eastAsia" w:ascii="仿宋" w:hAnsi="仿宋" w:eastAsia="仿宋" w:cs="Times New Roman"/>
          <w:sz w:val="32"/>
          <w:szCs w:val="32"/>
        </w:rPr>
        <w:t>重点测评考生根据患者病情变化进行临床决策的经验和能力。本站模拟入院期间病情变化的场景，考生根据题干给定的临床场景和病例资料作出初次治疗决策，治疗后患者病情会根据治疗方案发生变化，考生根据新的病情进行必要的体格检查和辅助检查，并根据检查结果修正已有的治疗方案。患者的病情变化不止一次，考生需相应作出多次临床决策。</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970186"/>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YTNjNTk2MzE5YWFlMjQwZTY0Y2MyN2QyMDM2NTcifQ=="/>
  </w:docVars>
  <w:rsids>
    <w:rsidRoot w:val="00000000"/>
    <w:rsid w:val="77BB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2023-03-09T07:28:56Z</dcterms:created>
  <dc:creator>user</dc:creator>
  <cp:lastModifiedBy>徐长卿</cp:lastModifiedBy>
  <dcterms:modified xsi:type="dcterms:W3CDTF">2023-03-09T07:33:55Z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A952E2D393874A229D1D3AE30B46FEE3</vt:lpwstr>
  </property>
</Properties>
</file>