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暨南大学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医学部一流课程建设协议书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线上一流本科课程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资助方（甲方）: 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负责人 ( 乙方 ):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所属单位（丙方）：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为规范暨南大学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一流课程管理，确保项目如期高质量完成，甲、乙、丙三方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TW"/>
        </w:rPr>
        <w:t>达成如下协议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一、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名称：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二、甲方权利与责任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1.甲方委托乙方开展上述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，并按规定支付项目经费。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2.项目经费资助额度共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拾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万元，分两期拨付。本协议签订后，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乙方提供完整度不低于50%的课程设计和课程脚本（或讲稿），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拨付乙方首期经费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万元人民币；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课程正式上线后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拨付滚动建设经费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.甲方负责项目的监督、检查与结题验收。如项目不符合检查、验收要求，甲方有权停止资助、收回部分或全部资助经费。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三、乙方权利与责任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1.乙方接受甲方委托，承担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2.乙方应根据项目申报书中预期目标、实施计划、成果形式等开展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工作，确保建设质量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积极推广课程校外使用，扩大课程受益面和社会影响力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力争获评国家级、省级一流课程，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并于</w:t>
      </w:r>
      <w:r>
        <w:rPr>
          <w:rFonts w:hint="eastAsia" w:ascii="仿宋_GB2312" w:hAnsi="方正仿宋_GB2312" w:eastAsia="仿宋_GB2312" w:cs="方正仿宋_GB2312"/>
          <w:sz w:val="28"/>
          <w:szCs w:val="28"/>
          <w:u w:val="none"/>
        </w:rPr>
        <w:t>2021年12月1日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前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完成拍摄（制作）及上线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3.乙方应积极配合甲方组织开展的检查与结题验收工作，并按时提交检查报告和结题材料。如遇特殊情况需延期结题，乙方应在协议期满前一个月内向甲方提交申请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延期时间一般不超过1年。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4.乙方未经甲方批准或无特殊原因中止项目，需如数退还资助经费，并在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年内不得申请同类项目。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四、丙方权利与责任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1.丙方应支持乙方的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工作，尽可能为乙方提供有利条件，并加强项目的跟踪管理，督促乙方按期、高质量完成研究任务。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2.丙方应积极配合甲方做好项目的检查、结题验收工作。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五、本协议仅适用于暨南大学医学部一流本科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研究生课程培育专项。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六、本协议一式三份，经甲、乙、丙三方签字盖章后生效。　</w:t>
      </w:r>
    </w:p>
    <w:tbl>
      <w:tblPr>
        <w:tblStyle w:val="5"/>
        <w:tblW w:w="99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8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乙方（签名）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暨南大学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医学部一流课程建设协议书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一流研究生课程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资助方（甲方）: 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负责人 ( 乙方 ):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所属单位（丙方）：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为规范暨南大学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一流课程管理，确保项目如期高质量完成，甲、乙、丙三方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TW"/>
        </w:rPr>
        <w:t>达成如下协议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一、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名称：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二、甲方权利与责任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1.甲方委托乙方开展上述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，并按规定支付项目经费。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2.项目经费资助额度共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拾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万元，分两期拨付。本协议签订后，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乙方提供完整度不低于50%的课程设计和课程脚本（或讲稿），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拨付乙方首期经费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万元人民币；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课程正式上线后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拨付滚动建设经费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.甲方负责项目的监督、检查与结题验收。如项目不符合检查、验收要求，甲方有权停止资助、收回部分或全部资助经费。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三、乙方权利与责任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1.乙方接受甲方委托，承担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2.乙方应根据项目申报书中预期目标、实施计划、成果形式等开展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工作，确保建设质量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积极推广课程校外使用，扩大课程受益面和社会影响力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力争获评国家级、省级一流课程，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并于</w:t>
      </w:r>
      <w:r>
        <w:rPr>
          <w:rFonts w:hint="eastAsia" w:ascii="仿宋_GB2312" w:hAnsi="方正仿宋_GB2312" w:eastAsia="仿宋_GB2312" w:cs="方正仿宋_GB2312"/>
          <w:sz w:val="28"/>
          <w:szCs w:val="28"/>
          <w:u w:val="none"/>
        </w:rPr>
        <w:t>2021年12月1日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前</w:t>
      </w:r>
      <w:r>
        <w:rPr>
          <w:rFonts w:hint="eastAsia" w:ascii="仿宋_GB2312" w:hAnsi="方正仿宋_GB2312" w:eastAsia="仿宋_GB2312" w:cs="方正仿宋_GB2312"/>
          <w:color w:val="auto"/>
          <w:sz w:val="28"/>
          <w:szCs w:val="28"/>
          <w:lang w:val="en-US" w:eastAsia="zh-CN"/>
        </w:rPr>
        <w:t>完成拍摄（制作）及上线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3.乙方应积极配合甲方组织开展的检查与结题验收工作，并按时提交检查报告和结题材料。如遇特殊情况需延期结题，乙方应在协议期满前一个月内向甲方提交申请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延期时间一般不超过1年。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4.乙方未经甲方批准或无特殊原因中止项目，需如数退还资助经费，并在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年内不得申请同类项目。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四、丙方权利与责任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1.丙方应支持乙方的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工作，尽可能为乙方提供有利条件，并加强项目的跟踪管理，督促乙方按期、高质量完成研究任务。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2.丙方应积极配合甲方做好项目的检查、结题验收工作。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五、本协议仅适用于暨南大学医学部一流本科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研究生课程培育专项。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六、本协议一式三份，经甲、乙、丙三方签字盖章后生效。　</w:t>
      </w:r>
    </w:p>
    <w:tbl>
      <w:tblPr>
        <w:tblStyle w:val="5"/>
        <w:tblW w:w="99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8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乙方（签名）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暨南大学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医学部一流课程建设协议书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社会实践一流本科课程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资助方（甲方）: 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负责人 ( 乙方 ):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所属单位（丙方）：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为规范暨南大学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一流课程管理，确保项目如期高质量完成，甲、乙、丙三方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TW"/>
        </w:rPr>
        <w:t>达成如下协议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一、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名称：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二、甲方权利与责任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1.甲方委托乙方开展上述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，并按规定支付项目经费。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2.项目经费资助额度共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拾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万元，分两期拨付。本协议签订后，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按要求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拨付乙方首期经费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万元人民币；后续根据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建设成果拨付滚动建设经费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.甲方负责项目的监督、检查与结题验收。如项目不符合检查、验收要求，甲方有权停止资助、收回部分或全部资助经费。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三、乙方权利与责任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1.乙方接受甲方委托，承担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2.乙方应根据项目申报书中预期目标、实施计划、成果形式等开展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工作，确保建设质量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积极推广课程校外使用，扩大课程受益面和社会影响力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力争获评国家级、省级一流课程，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并于</w:t>
      </w:r>
      <w:r>
        <w:rPr>
          <w:rFonts w:hint="eastAsia" w:ascii="仿宋_GB2312" w:hAnsi="方正仿宋_GB2312" w:eastAsia="仿宋_GB2312" w:cs="方正仿宋_GB2312"/>
          <w:color w:val="auto"/>
          <w:sz w:val="28"/>
          <w:szCs w:val="28"/>
          <w:u w:val="none"/>
          <w:lang w:val="en-US" w:eastAsia="zh-CN"/>
        </w:rPr>
        <w:t>2022年12月31日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前完成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3.乙方应积极配合甲方组织开展的检查与结题验收工作，并按时提交检查报告和结题材料。如遇特殊情况需延期结题，乙方应在协议期满前一个月内向甲方提交申请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延期时间一般不超过1年。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4.乙方未经甲方批准或无特殊原因中止项目，需如数退还资助经费，并在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年内不得申请同类项目。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四、丙方权利与责任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1.丙方应支持乙方的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工作，尽可能为乙方提供有利条件，并加强项目的跟踪管理，督促乙方按期、高质量完成研究任务。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2.丙方应积极配合甲方做好项目的检查、结题验收工作。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五、本协议仅适用于暨南大学医学部一流本科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研究生课程培育专项。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六、本协议一式三份，经甲、乙、丙三方签字盖章后生效。　</w:t>
      </w:r>
    </w:p>
    <w:tbl>
      <w:tblPr>
        <w:tblStyle w:val="5"/>
        <w:tblW w:w="99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8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乙方（签名）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暨南大学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医学部一流课程建设协议书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线下一流本科课程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资助方（甲方）: 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负责人 ( 乙方 ):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所属单位（丙方）：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为规范暨南大学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一流课程管理，确保项目如期高质量完成，甲、乙、丙三方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TW"/>
        </w:rPr>
        <w:t>达成如下协议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一、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名称：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二、甲方权利与责任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1.甲方委托乙方开展上述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，并按规定支付项目经费。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2.项目经费资助额度共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壹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万元，本协议签订后，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按要求一次性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.甲方负责项目的监督、检查与结题验收。如项目不符合检查、验收要求，甲方有权停止资助、收回部分或全部资助经费。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三、乙方权利与责任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1.乙方接受甲方委托，承担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2.乙方应根据项目申报书中预期目标、实施计划、成果形式等开展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工作，确保建设质量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积极推广课程校外使用，扩大课程受益面和社会影响力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力争获评国家级、省级一流课程，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并于</w:t>
      </w:r>
      <w:r>
        <w:rPr>
          <w:rFonts w:hint="eastAsia" w:ascii="仿宋_GB2312" w:hAnsi="方正仿宋_GB2312" w:eastAsia="仿宋_GB2312" w:cs="方正仿宋_GB2312"/>
          <w:color w:val="auto"/>
          <w:sz w:val="28"/>
          <w:szCs w:val="28"/>
          <w:u w:val="none"/>
          <w:lang w:val="en-US" w:eastAsia="zh-CN"/>
        </w:rPr>
        <w:t>2022年12月31日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前完成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3.乙方应积极配合甲方组织开展的检查与结题验收工作，并按时提交检查报告和结题材料。如遇特殊情况需延期结题，乙方应在协议期满前一个月内向甲方提交申请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延期时间一般不超过1年。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4.乙方未经甲方批准或无特殊原因中止项目，需如数退还资助经费，并在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年内不得申请同类项目。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四、丙方权利与责任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1.丙方应支持乙方的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工作，尽可能为乙方提供有利条件，并加强项目的跟踪管理，督促乙方按期、高质量完成研究任务。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2.丙方应积极配合甲方做好项目的检查、结题验收工作。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五、本协议仅适用于暨南大学医学部一流本科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研究生课程培育专项。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六、本协议一式三份，经甲、乙、丙三方签字盖章后生效。　</w:t>
      </w:r>
    </w:p>
    <w:tbl>
      <w:tblPr>
        <w:tblStyle w:val="5"/>
        <w:tblW w:w="99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8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乙方（签名）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暨南大学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医学部一流课程建设协议书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虚拟仿真实验教学一流本科课程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资助方（甲方）: 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负责人 ( 乙方 ):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所属单位（丙方）：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为规范暨南大学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医学部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一流课程管理，确保项目如期高质量完成，甲、乙、丙三方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TW"/>
        </w:rPr>
        <w:t>达成如下协议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一、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课程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名称：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二、甲方权利与责任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 xml:space="preserve">    1.甲方委托乙方开展上述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，并按规定支付项目经费。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2.项目经费资助额度共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  <w:lang w:val="en-US" w:eastAsia="zh-CN"/>
        </w:rPr>
        <w:t xml:space="preserve">  伍 </w:t>
      </w:r>
      <w:r>
        <w:rPr>
          <w:rFonts w:hint="eastAsia" w:ascii="仿宋_GB2312" w:hAnsi="方正仿宋_GB2312" w:eastAsia="仿宋_GB2312" w:cs="方正仿宋_GB2312"/>
          <w:i w:val="0"/>
          <w:iCs w:val="0"/>
          <w:sz w:val="28"/>
          <w:szCs w:val="28"/>
          <w:u w:val="single"/>
        </w:rPr>
        <w:t xml:space="preserve"> 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万元，本协议签订后，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按要求一次性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.甲方负责项目的监督、检查与结题验收。如项目不符合检查、验收要求，甲方有权停止资助、收回部分或全部资助经费。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三、乙方权利与责任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1.乙方接受甲方委托，承担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2.乙方应根据项目申报书中预期目标、实施计划、成果形式等开展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工作，确保建设质量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积极推广课程校外使用，扩大课程受益面和社会影响力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力争获评国家级、省级一流课程，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并于</w:t>
      </w:r>
      <w:r>
        <w:rPr>
          <w:rFonts w:hint="eastAsia" w:ascii="仿宋_GB2312" w:hAnsi="方正仿宋_GB2312" w:eastAsia="仿宋_GB2312" w:cs="方正仿宋_GB2312"/>
          <w:sz w:val="28"/>
          <w:szCs w:val="28"/>
          <w:u w:val="none"/>
        </w:rPr>
        <w:t>2021年12月1日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前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完成制作及上线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3.乙方应积极配合甲方组织开展的检查与结题验收工作，并按时提交检查报告和结题材料。如遇特殊情况需延期结题，乙方应在协议期满前一个月内向甲方提交申请</w:t>
      </w:r>
      <w:r>
        <w:rPr>
          <w:rFonts w:hint="eastAsia" w:ascii="仿宋_GB2312" w:hAnsi="方正仿宋_GB2312" w:eastAsia="仿宋_GB2312" w:cs="方正仿宋_GB2312"/>
          <w:sz w:val="28"/>
          <w:szCs w:val="28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延期时间一般不超过1年。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4.乙方未经甲方批准或无特殊原因中止项目，需如数退还资助经费，并在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年内不得申请同类项目。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四、丙方权利与责任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1.丙方应支持乙方的</w:t>
      </w:r>
      <w:r>
        <w:rPr>
          <w:rFonts w:hint="eastAsia" w:ascii="仿宋_GB2312" w:hAnsi="方正仿宋_GB2312" w:eastAsia="仿宋_GB2312" w:cs="方正仿宋_GB2312"/>
          <w:sz w:val="28"/>
          <w:szCs w:val="28"/>
          <w:lang w:val="en-US" w:eastAsia="zh-CN"/>
        </w:rPr>
        <w:t>课程建设</w:t>
      </w:r>
      <w:r>
        <w:rPr>
          <w:rFonts w:hint="eastAsia" w:ascii="仿宋_GB2312" w:hAnsi="方正仿宋_GB2312" w:eastAsia="仿宋_GB2312" w:cs="方正仿宋_GB2312"/>
          <w:sz w:val="28"/>
          <w:szCs w:val="28"/>
        </w:rPr>
        <w:t>工作，尽可能为乙方提供有利条件，并加强项目的跟踪管理，督促乙方按期、高质量完成研究任务。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方正仿宋_GB2312" w:eastAsia="仿宋_GB2312" w:cs="方正仿宋_GB2312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sz w:val="28"/>
          <w:szCs w:val="28"/>
        </w:rPr>
        <w:t>2.丙方应积极配合甲方做好项目的检查、结题验收工作。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五、本协议仅适用于暨南大学医学部一流本科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  <w:lang w:val="en-US" w:eastAsia="zh-CN"/>
        </w:rPr>
        <w:t>/</w:t>
      </w: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研究生课程培育专项。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b/>
          <w:bCs/>
          <w:sz w:val="28"/>
          <w:szCs w:val="28"/>
        </w:rPr>
        <w:t>六、本协议一式三份，经甲、乙、丙三方签字盖章后生效。　</w:t>
      </w:r>
    </w:p>
    <w:tbl>
      <w:tblPr>
        <w:tblStyle w:val="5"/>
        <w:tblW w:w="992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8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甲方（盖章）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>: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乙方（签名）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丙方（盖章）</w:t>
            </w:r>
            <w:r>
              <w:rPr>
                <w:rFonts w:ascii="仿宋" w:hAnsi="仿宋" w:eastAsia="仿宋"/>
                <w:kern w:val="0"/>
                <w:sz w:val="28"/>
                <w:szCs w:val="28"/>
                <w:lang w:eastAsia="zh-TW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PMingLiU"/>
                <w:kern w:val="0"/>
                <w:sz w:val="28"/>
                <w:szCs w:val="28"/>
                <w:lang w:eastAsia="zh-TW"/>
              </w:rPr>
            </w:pPr>
          </w:p>
          <w:p>
            <w:pPr>
              <w:autoSpaceDE w:val="0"/>
              <w:autoSpaceDN w:val="0"/>
              <w:adjustRightInd w:val="0"/>
              <w:spacing w:before="468" w:beforeLines="150"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主管领导（签名）：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07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3308" w:type="dxa"/>
          </w:tcPr>
          <w:p>
            <w:pPr>
              <w:autoSpaceDE w:val="0"/>
              <w:autoSpaceDN w:val="0"/>
              <w:adjustRightInd w:val="0"/>
              <w:spacing w:before="468" w:beforeLines="150" w:line="400" w:lineRule="exact"/>
              <w:ind w:firstLine="980" w:firstLineChars="3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0" w:firstLineChars="0"/>
        <w:textAlignment w:val="auto"/>
        <w:rPr>
          <w:rFonts w:hint="eastAsia" w:ascii="仿宋_GB2312" w:hAnsi="方正仿宋_GB2312" w:eastAsia="仿宋_GB2312" w:cs="方正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FF9"/>
    <w:rsid w:val="001D48F8"/>
    <w:rsid w:val="00395FF9"/>
    <w:rsid w:val="005C4AB4"/>
    <w:rsid w:val="007C7C78"/>
    <w:rsid w:val="009228F3"/>
    <w:rsid w:val="009734FD"/>
    <w:rsid w:val="00B75A4D"/>
    <w:rsid w:val="00B94783"/>
    <w:rsid w:val="00C1564B"/>
    <w:rsid w:val="00C61400"/>
    <w:rsid w:val="00EC620B"/>
    <w:rsid w:val="00F8536B"/>
    <w:rsid w:val="1842354E"/>
    <w:rsid w:val="1C2D1349"/>
    <w:rsid w:val="27684FBA"/>
    <w:rsid w:val="33AD6B10"/>
    <w:rsid w:val="3417526B"/>
    <w:rsid w:val="38907EB8"/>
    <w:rsid w:val="42367484"/>
    <w:rsid w:val="46081358"/>
    <w:rsid w:val="48A33912"/>
    <w:rsid w:val="4923089A"/>
    <w:rsid w:val="4B6F2AF4"/>
    <w:rsid w:val="4E9F45B1"/>
    <w:rsid w:val="518F3815"/>
    <w:rsid w:val="544C6234"/>
    <w:rsid w:val="551B7DE4"/>
    <w:rsid w:val="574357C2"/>
    <w:rsid w:val="61712712"/>
    <w:rsid w:val="671627AA"/>
    <w:rsid w:val="6BF6094D"/>
    <w:rsid w:val="6E083389"/>
    <w:rsid w:val="79C639D5"/>
    <w:rsid w:val="7AB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140</Words>
  <Characters>800</Characters>
  <Lines>6</Lines>
  <Paragraphs>1</Paragraphs>
  <TotalTime>0</TotalTime>
  <ScaleCrop>false</ScaleCrop>
  <LinksUpToDate>false</LinksUpToDate>
  <CharactersWithSpaces>939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2016-05-31T01:52:00Z</dcterms:created>
  <dc:creator>a</dc:creator>
  <cp:lastModifiedBy>xuxu</cp:lastModifiedBy>
  <dcterms:modified xsi:type="dcterms:W3CDTF">2021-05-26T02:17:37Z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40BDA6B6B7634EDD8FF3051EA36E7061</vt:lpwstr>
  </property>
</Properties>
</file>