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C3" w:rsidRPr="003B7FC3" w:rsidRDefault="003B7FC3" w:rsidP="003B7FC3">
      <w:pPr>
        <w:widowControl/>
        <w:spacing w:line="360" w:lineRule="auto"/>
        <w:jc w:val="center"/>
        <w:rPr>
          <w:rFonts w:ascii="仿宋_GB2312" w:eastAsia="仿宋_GB2312" w:hAnsi="等线" w:cs="宋体" w:hint="eastAsia"/>
          <w:b/>
          <w:kern w:val="0"/>
          <w:sz w:val="44"/>
          <w:szCs w:val="44"/>
        </w:rPr>
      </w:pPr>
      <w:r w:rsidRPr="003B7FC3">
        <w:rPr>
          <w:rFonts w:ascii="仿宋_GB2312" w:eastAsia="仿宋_GB2312" w:hAnsi="等线" w:cs="宋体" w:hint="eastAsia"/>
          <w:b/>
          <w:kern w:val="0"/>
          <w:sz w:val="44"/>
          <w:szCs w:val="44"/>
        </w:rPr>
        <w:t>杰出青年项目预算要求</w:t>
      </w:r>
    </w:p>
    <w:p w:rsidR="003B7FC3" w:rsidRPr="00740EA3" w:rsidRDefault="003B7FC3" w:rsidP="003B7FC3">
      <w:pPr>
        <w:widowControl/>
        <w:spacing w:line="360" w:lineRule="auto"/>
        <w:ind w:firstLineChars="200" w:firstLine="640"/>
        <w:rPr>
          <w:rFonts w:ascii="仿宋" w:eastAsia="仿宋" w:hAnsi="仿宋" w:cs="宋体" w:hint="eastAsia"/>
          <w:kern w:val="0"/>
          <w:sz w:val="32"/>
          <w:szCs w:val="32"/>
        </w:rPr>
      </w:pPr>
    </w:p>
    <w:p w:rsidR="00B920C3" w:rsidRDefault="00740EA3" w:rsidP="00B920C3">
      <w:pPr>
        <w:widowControl/>
        <w:spacing w:line="360" w:lineRule="auto"/>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杰出青年</w:t>
      </w:r>
      <w:r w:rsidR="00FA33EE" w:rsidRPr="00740EA3">
        <w:rPr>
          <w:rFonts w:ascii="仿宋" w:eastAsia="仿宋" w:hAnsi="仿宋" w:cs="宋体" w:hint="eastAsia"/>
          <w:kern w:val="0"/>
          <w:sz w:val="32"/>
          <w:szCs w:val="32"/>
        </w:rPr>
        <w:t>项目</w:t>
      </w:r>
      <w:r>
        <w:rPr>
          <w:rFonts w:ascii="仿宋" w:eastAsia="仿宋" w:hAnsi="仿宋" w:cs="宋体" w:hint="eastAsia"/>
          <w:kern w:val="0"/>
          <w:sz w:val="32"/>
          <w:szCs w:val="32"/>
        </w:rPr>
        <w:t>资助强度</w:t>
      </w:r>
      <w:r w:rsidR="00FA33EE" w:rsidRPr="00740EA3">
        <w:rPr>
          <w:rFonts w:ascii="仿宋" w:eastAsia="仿宋" w:hAnsi="仿宋" w:cs="宋体" w:hint="eastAsia"/>
          <w:kern w:val="0"/>
          <w:sz w:val="32"/>
          <w:szCs w:val="32"/>
        </w:rPr>
        <w:t>为100万</w:t>
      </w:r>
      <w:r w:rsidR="00674666" w:rsidRPr="00740EA3">
        <w:rPr>
          <w:rFonts w:ascii="仿宋" w:eastAsia="仿宋" w:hAnsi="仿宋" w:cs="宋体" w:hint="eastAsia"/>
          <w:kern w:val="0"/>
          <w:sz w:val="32"/>
          <w:szCs w:val="32"/>
        </w:rPr>
        <w:t>元</w:t>
      </w:r>
      <w:r>
        <w:rPr>
          <w:rFonts w:ascii="仿宋" w:eastAsia="仿宋" w:hAnsi="仿宋" w:cs="宋体" w:hint="eastAsia"/>
          <w:kern w:val="0"/>
          <w:sz w:val="32"/>
          <w:szCs w:val="32"/>
        </w:rPr>
        <w:t>，</w:t>
      </w:r>
      <w:r w:rsidR="003B7FC3" w:rsidRPr="00740EA3">
        <w:rPr>
          <w:rFonts w:ascii="仿宋" w:eastAsia="仿宋" w:hAnsi="仿宋" w:cs="Times New Roman"/>
          <w:sz w:val="32"/>
          <w:szCs w:val="32"/>
        </w:rPr>
        <w:t>按照学校科研经费管理办法，</w:t>
      </w:r>
      <w:r w:rsidR="00B920C3" w:rsidRPr="00740EA3">
        <w:rPr>
          <w:rFonts w:ascii="仿宋" w:eastAsia="仿宋" w:hAnsi="仿宋" w:cs="宋体" w:hint="eastAsia"/>
          <w:kern w:val="0"/>
          <w:sz w:val="32"/>
          <w:szCs w:val="32"/>
        </w:rPr>
        <w:t>预算需遵从如下原则：</w:t>
      </w:r>
    </w:p>
    <w:p w:rsidR="00740EA3" w:rsidRPr="00740EA3" w:rsidRDefault="00740EA3" w:rsidP="00B920C3">
      <w:pPr>
        <w:widowControl/>
        <w:spacing w:line="360" w:lineRule="auto"/>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1.</w:t>
      </w:r>
      <w:r w:rsidRPr="00740EA3">
        <w:rPr>
          <w:rFonts w:ascii="仿宋" w:eastAsia="仿宋" w:hAnsi="仿宋" w:cs="宋体" w:hint="eastAsia"/>
          <w:b/>
          <w:bCs/>
          <w:kern w:val="0"/>
          <w:sz w:val="32"/>
          <w:szCs w:val="32"/>
        </w:rPr>
        <w:t>勿填写自筹经费。</w:t>
      </w:r>
    </w:p>
    <w:p w:rsidR="00B920C3" w:rsidRPr="00740EA3" w:rsidRDefault="00740EA3" w:rsidP="00B920C3">
      <w:pPr>
        <w:widowControl/>
        <w:spacing w:line="360" w:lineRule="auto"/>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2</w:t>
      </w:r>
      <w:r w:rsidR="00B920C3" w:rsidRPr="00740EA3">
        <w:rPr>
          <w:rFonts w:ascii="仿宋" w:eastAsia="仿宋" w:hAnsi="仿宋" w:cs="宋体" w:hint="eastAsia"/>
          <w:kern w:val="0"/>
          <w:sz w:val="32"/>
          <w:szCs w:val="32"/>
        </w:rPr>
        <w:t>.间接费用比例：</w:t>
      </w:r>
    </w:p>
    <w:p w:rsidR="003B7FC3" w:rsidRPr="00740EA3" w:rsidRDefault="00B920C3" w:rsidP="00B920C3">
      <w:pPr>
        <w:widowControl/>
        <w:spacing w:line="360" w:lineRule="auto"/>
        <w:ind w:firstLineChars="200" w:firstLine="640"/>
        <w:rPr>
          <w:rFonts w:ascii="仿宋" w:eastAsia="仿宋" w:hAnsi="仿宋" w:cs="宋体"/>
          <w:kern w:val="0"/>
          <w:sz w:val="32"/>
          <w:szCs w:val="32"/>
        </w:rPr>
      </w:pPr>
      <w:r w:rsidRPr="00740EA3">
        <w:rPr>
          <w:rFonts w:ascii="仿宋" w:eastAsia="仿宋" w:hAnsi="仿宋" w:cs="Times New Roman" w:hint="eastAsia"/>
          <w:sz w:val="32"/>
          <w:szCs w:val="32"/>
        </w:rPr>
        <w:t>（1）</w:t>
      </w:r>
      <w:r w:rsidR="003B7FC3" w:rsidRPr="00740EA3">
        <w:rPr>
          <w:rFonts w:ascii="仿宋" w:eastAsia="仿宋" w:hAnsi="仿宋" w:cs="Times New Roman"/>
          <w:sz w:val="32"/>
          <w:szCs w:val="32"/>
        </w:rPr>
        <w:t>间接费用主要包括承担科研项目任务的单位为项目研究提供的现有仪器、设备及房屋，水、电、气、暖消耗，有关管理费用的补助支出，科研人员的绩效支出，以及其他无法在直接费用中列支的相关费用等，</w:t>
      </w:r>
      <w:r w:rsidR="003B7FC3" w:rsidRPr="00740EA3">
        <w:rPr>
          <w:rFonts w:ascii="仿宋" w:eastAsia="仿宋" w:hAnsi="仿宋" w:cs="Times New Roman"/>
          <w:b/>
          <w:sz w:val="32"/>
          <w:szCs w:val="32"/>
          <w:highlight w:val="yellow"/>
        </w:rPr>
        <w:t>间接费用不得调增</w:t>
      </w:r>
      <w:r w:rsidR="003B7FC3" w:rsidRPr="00740EA3">
        <w:rPr>
          <w:rFonts w:ascii="仿宋" w:eastAsia="仿宋" w:hAnsi="仿宋" w:cs="Times New Roman"/>
          <w:sz w:val="32"/>
          <w:szCs w:val="32"/>
        </w:rPr>
        <w:t>；</w:t>
      </w:r>
    </w:p>
    <w:p w:rsidR="003B7FC3" w:rsidRPr="00740EA3" w:rsidRDefault="00B920C3" w:rsidP="00B920C3">
      <w:pPr>
        <w:widowControl/>
        <w:spacing w:line="360" w:lineRule="auto"/>
        <w:ind w:firstLineChars="200" w:firstLine="640"/>
        <w:rPr>
          <w:rFonts w:ascii="仿宋" w:eastAsia="仿宋" w:hAnsi="仿宋" w:cs="宋体"/>
          <w:b/>
          <w:kern w:val="0"/>
          <w:sz w:val="32"/>
          <w:szCs w:val="32"/>
        </w:rPr>
      </w:pPr>
      <w:r w:rsidRPr="00740EA3">
        <w:rPr>
          <w:rFonts w:ascii="仿宋" w:eastAsia="仿宋" w:hAnsi="仿宋" w:cs="Times New Roman" w:hint="eastAsia"/>
          <w:sz w:val="32"/>
          <w:szCs w:val="24"/>
        </w:rPr>
        <w:t>（2）</w:t>
      </w:r>
      <w:r w:rsidR="003B7FC3" w:rsidRPr="00740EA3">
        <w:rPr>
          <w:rFonts w:ascii="仿宋" w:eastAsia="仿宋" w:hAnsi="仿宋" w:cs="Times New Roman"/>
          <w:b/>
          <w:sz w:val="32"/>
          <w:szCs w:val="24"/>
        </w:rPr>
        <w:t>间接费用=（直接费用-</w:t>
      </w:r>
      <w:r w:rsidR="003B7FC3" w:rsidRPr="00740EA3">
        <w:rPr>
          <w:rFonts w:ascii="仿宋" w:eastAsia="仿宋" w:hAnsi="仿宋" w:cs="Times New Roman"/>
          <w:b/>
          <w:color w:val="FF0000"/>
          <w:sz w:val="32"/>
          <w:szCs w:val="24"/>
        </w:rPr>
        <w:t>设备购置费</w:t>
      </w:r>
      <w:r w:rsidR="003B7FC3" w:rsidRPr="00740EA3">
        <w:rPr>
          <w:rFonts w:ascii="仿宋" w:eastAsia="仿宋" w:hAnsi="仿宋" w:cs="Times New Roman"/>
          <w:b/>
          <w:sz w:val="32"/>
          <w:szCs w:val="24"/>
        </w:rPr>
        <w:t>）×20%</w:t>
      </w:r>
      <w:r w:rsidRPr="00740EA3">
        <w:rPr>
          <w:rFonts w:ascii="仿宋" w:eastAsia="仿宋" w:hAnsi="仿宋" w:cs="Times New Roman" w:hint="eastAsia"/>
          <w:sz w:val="32"/>
          <w:szCs w:val="24"/>
        </w:rPr>
        <w:t>，</w:t>
      </w:r>
      <w:r w:rsidRPr="00740EA3">
        <w:rPr>
          <w:rFonts w:ascii="仿宋" w:eastAsia="仿宋" w:hAnsi="仿宋" w:cs="宋体" w:hint="eastAsia"/>
          <w:b/>
          <w:kern w:val="0"/>
          <w:sz w:val="32"/>
          <w:szCs w:val="32"/>
        </w:rPr>
        <w:t>简便计算</w:t>
      </w:r>
      <w:r w:rsidRPr="00740EA3">
        <w:rPr>
          <w:rFonts w:ascii="仿宋" w:eastAsia="仿宋" w:hAnsi="仿宋" w:cs="宋体"/>
          <w:b/>
          <w:kern w:val="0"/>
          <w:sz w:val="32"/>
          <w:szCs w:val="32"/>
        </w:rPr>
        <w:t>公式：（</w:t>
      </w:r>
      <w:r w:rsidRPr="00740EA3">
        <w:rPr>
          <w:rFonts w:ascii="仿宋" w:eastAsia="仿宋" w:hAnsi="仿宋" w:cs="宋体" w:hint="eastAsia"/>
          <w:b/>
          <w:kern w:val="0"/>
          <w:sz w:val="32"/>
          <w:szCs w:val="32"/>
        </w:rPr>
        <w:t>总经费</w:t>
      </w:r>
      <w:r w:rsidRPr="00740EA3">
        <w:rPr>
          <w:rFonts w:ascii="仿宋" w:eastAsia="仿宋" w:hAnsi="仿宋" w:cs="宋体"/>
          <w:b/>
          <w:kern w:val="0"/>
          <w:sz w:val="32"/>
          <w:szCs w:val="32"/>
        </w:rPr>
        <w:t>-</w:t>
      </w:r>
      <w:r w:rsidRPr="00740EA3">
        <w:rPr>
          <w:rFonts w:ascii="仿宋" w:eastAsia="仿宋" w:hAnsi="仿宋" w:cs="Times New Roman"/>
          <w:b/>
          <w:color w:val="FF0000"/>
          <w:sz w:val="32"/>
          <w:szCs w:val="24"/>
        </w:rPr>
        <w:t>设备购置费</w:t>
      </w:r>
      <w:r w:rsidRPr="00740EA3">
        <w:rPr>
          <w:rFonts w:ascii="仿宋" w:eastAsia="仿宋" w:hAnsi="仿宋" w:cs="宋体"/>
          <w:b/>
          <w:kern w:val="0"/>
          <w:sz w:val="32"/>
          <w:szCs w:val="32"/>
        </w:rPr>
        <w:t>）</w:t>
      </w:r>
      <w:r w:rsidRPr="00740EA3">
        <w:rPr>
          <w:rFonts w:ascii="仿宋" w:eastAsia="仿宋" w:hAnsi="仿宋" w:cs="宋体" w:hint="eastAsia"/>
          <w:b/>
          <w:kern w:val="0"/>
          <w:sz w:val="32"/>
          <w:szCs w:val="32"/>
        </w:rPr>
        <w:t>/6</w:t>
      </w:r>
    </w:p>
    <w:p w:rsidR="003B7FC3" w:rsidRPr="00740EA3" w:rsidRDefault="00B920C3" w:rsidP="00B920C3">
      <w:pPr>
        <w:spacing w:line="360" w:lineRule="auto"/>
        <w:ind w:firstLineChars="200" w:firstLine="640"/>
        <w:rPr>
          <w:rFonts w:ascii="仿宋" w:eastAsia="仿宋" w:hAnsi="仿宋" w:cs="Times New Roman"/>
          <w:sz w:val="32"/>
          <w:szCs w:val="24"/>
        </w:rPr>
      </w:pPr>
      <w:r w:rsidRPr="00740EA3">
        <w:rPr>
          <w:rFonts w:ascii="仿宋" w:eastAsia="仿宋" w:hAnsi="仿宋" w:cs="Times New Roman" w:hint="eastAsia"/>
          <w:sz w:val="32"/>
          <w:szCs w:val="24"/>
        </w:rPr>
        <w:t>（3）</w:t>
      </w:r>
      <w:r w:rsidR="003B7FC3" w:rsidRPr="00740EA3">
        <w:rPr>
          <w:rFonts w:ascii="仿宋" w:eastAsia="仿宋" w:hAnsi="仿宋" w:cs="Times New Roman"/>
          <w:sz w:val="32"/>
          <w:szCs w:val="24"/>
        </w:rPr>
        <w:t>间接费用分配比例：</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61"/>
        <w:gridCol w:w="2279"/>
        <w:gridCol w:w="2350"/>
        <w:gridCol w:w="1516"/>
        <w:gridCol w:w="1554"/>
      </w:tblGrid>
      <w:tr w:rsidR="003B7FC3" w:rsidRPr="00740EA3" w:rsidTr="001A4EEE">
        <w:trPr>
          <w:trHeight w:val="596"/>
          <w:jc w:val="center"/>
        </w:trPr>
        <w:tc>
          <w:tcPr>
            <w:tcW w:w="1361" w:type="dxa"/>
            <w:vAlign w:val="center"/>
          </w:tcPr>
          <w:p w:rsidR="003B7FC3" w:rsidRPr="00740EA3" w:rsidRDefault="003B7FC3" w:rsidP="00B920C3">
            <w:pPr>
              <w:adjustRightInd w:val="0"/>
              <w:snapToGrid w:val="0"/>
              <w:spacing w:line="540" w:lineRule="exact"/>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科目</w:t>
            </w:r>
          </w:p>
        </w:tc>
        <w:tc>
          <w:tcPr>
            <w:tcW w:w="2279" w:type="dxa"/>
            <w:vAlign w:val="center"/>
          </w:tcPr>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学校</w:t>
            </w:r>
          </w:p>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间接费用</w:t>
            </w:r>
          </w:p>
        </w:tc>
        <w:tc>
          <w:tcPr>
            <w:tcW w:w="2350" w:type="dxa"/>
            <w:vAlign w:val="center"/>
          </w:tcPr>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学院（研究院/所）</w:t>
            </w:r>
          </w:p>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间接费用</w:t>
            </w:r>
          </w:p>
        </w:tc>
        <w:tc>
          <w:tcPr>
            <w:tcW w:w="3070" w:type="dxa"/>
            <w:gridSpan w:val="2"/>
            <w:vAlign w:val="center"/>
          </w:tcPr>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项目组</w:t>
            </w:r>
          </w:p>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间接费用</w:t>
            </w:r>
          </w:p>
        </w:tc>
      </w:tr>
      <w:tr w:rsidR="003B7FC3" w:rsidRPr="00740EA3" w:rsidTr="001A4EEE">
        <w:trPr>
          <w:trHeight w:val="676"/>
          <w:jc w:val="center"/>
        </w:trPr>
        <w:tc>
          <w:tcPr>
            <w:tcW w:w="1361" w:type="dxa"/>
            <w:vAlign w:val="center"/>
          </w:tcPr>
          <w:p w:rsidR="003B7FC3" w:rsidRPr="00740EA3" w:rsidRDefault="003B7FC3" w:rsidP="00B920C3">
            <w:pPr>
              <w:adjustRightInd w:val="0"/>
              <w:snapToGrid w:val="0"/>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用途</w:t>
            </w:r>
          </w:p>
        </w:tc>
        <w:tc>
          <w:tcPr>
            <w:tcW w:w="2279" w:type="dxa"/>
            <w:vAlign w:val="center"/>
          </w:tcPr>
          <w:p w:rsidR="003B7FC3" w:rsidRPr="00740EA3" w:rsidRDefault="003B7FC3" w:rsidP="00B920C3">
            <w:pPr>
              <w:adjustRightInd w:val="0"/>
              <w:snapToGrid w:val="0"/>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学校公共成本补偿、项目管理及服务</w:t>
            </w:r>
          </w:p>
        </w:tc>
        <w:tc>
          <w:tcPr>
            <w:tcW w:w="2350" w:type="dxa"/>
            <w:vAlign w:val="center"/>
          </w:tcPr>
          <w:p w:rsidR="003B7FC3" w:rsidRPr="00740EA3" w:rsidRDefault="003B7FC3" w:rsidP="00B920C3">
            <w:pPr>
              <w:adjustRightInd w:val="0"/>
              <w:snapToGrid w:val="0"/>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项目管理、组织及运行</w:t>
            </w:r>
          </w:p>
        </w:tc>
        <w:tc>
          <w:tcPr>
            <w:tcW w:w="1516" w:type="dxa"/>
            <w:vAlign w:val="center"/>
          </w:tcPr>
          <w:p w:rsidR="003B7FC3" w:rsidRPr="00740EA3" w:rsidRDefault="003B7FC3" w:rsidP="00B920C3">
            <w:pPr>
              <w:adjustRightInd w:val="0"/>
              <w:snapToGrid w:val="0"/>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其他费用</w:t>
            </w:r>
          </w:p>
        </w:tc>
        <w:tc>
          <w:tcPr>
            <w:tcW w:w="1554" w:type="dxa"/>
            <w:vAlign w:val="center"/>
          </w:tcPr>
          <w:p w:rsidR="003B7FC3" w:rsidRPr="00740EA3" w:rsidRDefault="003B7FC3" w:rsidP="00B920C3">
            <w:pPr>
              <w:adjustRightInd w:val="0"/>
              <w:snapToGrid w:val="0"/>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绩效支出</w:t>
            </w:r>
          </w:p>
        </w:tc>
      </w:tr>
      <w:tr w:rsidR="003B7FC3" w:rsidRPr="00740EA3" w:rsidTr="001A4EEE">
        <w:trPr>
          <w:trHeight w:val="558"/>
          <w:jc w:val="center"/>
        </w:trPr>
        <w:tc>
          <w:tcPr>
            <w:tcW w:w="1361" w:type="dxa"/>
            <w:vAlign w:val="center"/>
          </w:tcPr>
          <w:p w:rsidR="003B7FC3" w:rsidRPr="00740EA3" w:rsidRDefault="003B7FC3" w:rsidP="00B920C3">
            <w:pPr>
              <w:adjustRightInd w:val="0"/>
              <w:snapToGrid w:val="0"/>
              <w:ind w:firstLine="200"/>
              <w:jc w:val="center"/>
              <w:rPr>
                <w:rFonts w:ascii="仿宋" w:eastAsia="仿宋" w:hAnsi="仿宋" w:cs="Times New Roman"/>
                <w:b/>
                <w:kern w:val="0"/>
                <w:sz w:val="24"/>
                <w:szCs w:val="24"/>
              </w:rPr>
            </w:pPr>
            <w:r w:rsidRPr="00740EA3">
              <w:rPr>
                <w:rFonts w:ascii="仿宋" w:eastAsia="仿宋" w:hAnsi="仿宋" w:cs="Times New Roman"/>
                <w:b/>
                <w:kern w:val="0"/>
                <w:sz w:val="24"/>
                <w:szCs w:val="24"/>
              </w:rPr>
              <w:t>占间接费用总额的比例</w:t>
            </w:r>
          </w:p>
        </w:tc>
        <w:tc>
          <w:tcPr>
            <w:tcW w:w="2279" w:type="dxa"/>
            <w:vAlign w:val="center"/>
          </w:tcPr>
          <w:p w:rsidR="003B7FC3" w:rsidRPr="00740EA3" w:rsidRDefault="003B7FC3" w:rsidP="00B920C3">
            <w:pPr>
              <w:adjustRightInd w:val="0"/>
              <w:snapToGrid w:val="0"/>
              <w:spacing w:line="540" w:lineRule="exact"/>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20%</w:t>
            </w:r>
          </w:p>
        </w:tc>
        <w:tc>
          <w:tcPr>
            <w:tcW w:w="2350" w:type="dxa"/>
            <w:vAlign w:val="center"/>
          </w:tcPr>
          <w:p w:rsidR="003B7FC3" w:rsidRPr="00740EA3" w:rsidRDefault="003B7FC3" w:rsidP="00B920C3">
            <w:pPr>
              <w:adjustRightInd w:val="0"/>
              <w:snapToGrid w:val="0"/>
              <w:spacing w:line="540" w:lineRule="exact"/>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5%</w:t>
            </w:r>
          </w:p>
        </w:tc>
        <w:tc>
          <w:tcPr>
            <w:tcW w:w="3070" w:type="dxa"/>
            <w:gridSpan w:val="2"/>
            <w:vAlign w:val="center"/>
          </w:tcPr>
          <w:p w:rsidR="003B7FC3" w:rsidRPr="00740EA3" w:rsidRDefault="003B7FC3" w:rsidP="00B920C3">
            <w:pPr>
              <w:adjustRightInd w:val="0"/>
              <w:snapToGrid w:val="0"/>
              <w:spacing w:line="540" w:lineRule="exact"/>
              <w:ind w:firstLine="200"/>
              <w:jc w:val="center"/>
              <w:rPr>
                <w:rFonts w:ascii="仿宋" w:eastAsia="仿宋" w:hAnsi="仿宋" w:cs="Times New Roman"/>
                <w:kern w:val="0"/>
                <w:sz w:val="24"/>
                <w:szCs w:val="24"/>
              </w:rPr>
            </w:pPr>
            <w:r w:rsidRPr="00740EA3">
              <w:rPr>
                <w:rFonts w:ascii="仿宋" w:eastAsia="仿宋" w:hAnsi="仿宋" w:cs="Times New Roman"/>
                <w:kern w:val="0"/>
                <w:sz w:val="24"/>
                <w:szCs w:val="24"/>
              </w:rPr>
              <w:t>75%</w:t>
            </w:r>
          </w:p>
        </w:tc>
      </w:tr>
    </w:tbl>
    <w:p w:rsidR="00FA33EE" w:rsidRPr="00740EA3" w:rsidRDefault="00B920C3" w:rsidP="00B920C3">
      <w:pPr>
        <w:pStyle w:val="a5"/>
        <w:spacing w:line="360" w:lineRule="auto"/>
        <w:ind w:firstLine="640"/>
        <w:rPr>
          <w:rFonts w:ascii="仿宋" w:eastAsia="仿宋" w:hAnsi="仿宋" w:cs="Times New Roman"/>
          <w:sz w:val="32"/>
          <w:szCs w:val="24"/>
        </w:rPr>
      </w:pPr>
      <w:r w:rsidRPr="00740EA3">
        <w:rPr>
          <w:rFonts w:ascii="仿宋" w:eastAsia="仿宋" w:hAnsi="仿宋" w:cs="Times New Roman" w:hint="eastAsia"/>
          <w:sz w:val="32"/>
          <w:szCs w:val="24"/>
        </w:rPr>
        <w:t>（4）</w:t>
      </w:r>
      <w:r w:rsidR="003B7FC3" w:rsidRPr="00740EA3">
        <w:rPr>
          <w:rFonts w:ascii="仿宋" w:eastAsia="仿宋" w:hAnsi="仿宋" w:cs="Times New Roman"/>
          <w:sz w:val="32"/>
          <w:szCs w:val="24"/>
        </w:rPr>
        <w:t>原则上设备购置费和间接费用不予调整，请按照“目标相关性、政策相符性及经济合理性”的原则编制预算；</w:t>
      </w:r>
    </w:p>
    <w:p w:rsidR="00FA33EE" w:rsidRPr="00740EA3" w:rsidRDefault="00740EA3" w:rsidP="00B920C3">
      <w:pPr>
        <w:widowControl/>
        <w:spacing w:line="360" w:lineRule="auto"/>
        <w:ind w:firstLineChars="200" w:firstLine="640"/>
        <w:rPr>
          <w:rFonts w:ascii="仿宋" w:eastAsia="仿宋" w:hAnsi="仿宋" w:cs="宋体"/>
          <w:kern w:val="0"/>
          <w:szCs w:val="21"/>
        </w:rPr>
      </w:pPr>
      <w:r>
        <w:rPr>
          <w:rFonts w:ascii="仿宋" w:eastAsia="仿宋" w:hAnsi="仿宋" w:cs="宋体" w:hint="eastAsia"/>
          <w:kern w:val="0"/>
          <w:sz w:val="32"/>
          <w:szCs w:val="32"/>
        </w:rPr>
        <w:t>3</w:t>
      </w:r>
      <w:r w:rsidR="00B920C3" w:rsidRPr="00740EA3">
        <w:rPr>
          <w:rFonts w:ascii="仿宋" w:eastAsia="仿宋" w:hAnsi="仿宋" w:cs="宋体" w:hint="eastAsia"/>
          <w:kern w:val="0"/>
          <w:sz w:val="32"/>
          <w:szCs w:val="32"/>
        </w:rPr>
        <w:t>.</w:t>
      </w:r>
      <w:r w:rsidR="003B7FC3" w:rsidRPr="00740EA3">
        <w:rPr>
          <w:rFonts w:ascii="仿宋" w:eastAsia="仿宋" w:hAnsi="仿宋" w:cs="宋体" w:hint="eastAsia"/>
          <w:kern w:val="0"/>
          <w:sz w:val="32"/>
          <w:szCs w:val="32"/>
        </w:rPr>
        <w:t>学生劳务和临聘人员的人力资源成本在</w:t>
      </w:r>
      <w:r w:rsidR="003B7FC3" w:rsidRPr="00740EA3">
        <w:rPr>
          <w:rFonts w:ascii="仿宋" w:eastAsia="仿宋" w:hAnsi="仿宋" w:cs="宋体" w:hint="eastAsia"/>
          <w:b/>
          <w:kern w:val="0"/>
          <w:sz w:val="32"/>
          <w:szCs w:val="32"/>
        </w:rPr>
        <w:t>劳务费科目</w:t>
      </w:r>
      <w:r w:rsidR="003B7FC3" w:rsidRPr="00740EA3">
        <w:rPr>
          <w:rFonts w:ascii="仿宋" w:eastAsia="仿宋" w:hAnsi="仿宋" w:cs="宋体" w:hint="eastAsia"/>
          <w:kern w:val="0"/>
          <w:sz w:val="32"/>
          <w:szCs w:val="32"/>
        </w:rPr>
        <w:t>做预算。</w:t>
      </w:r>
    </w:p>
    <w:p w:rsidR="003B7FC3" w:rsidRPr="00740EA3" w:rsidRDefault="00740EA3" w:rsidP="00B920C3">
      <w:pPr>
        <w:widowControl/>
        <w:spacing w:line="360" w:lineRule="auto"/>
        <w:ind w:firstLineChars="200" w:firstLine="640"/>
        <w:rPr>
          <w:rFonts w:ascii="仿宋" w:eastAsia="仿宋" w:hAnsi="仿宋" w:cs="宋体"/>
          <w:kern w:val="0"/>
          <w:szCs w:val="21"/>
        </w:rPr>
      </w:pPr>
      <w:r>
        <w:rPr>
          <w:rFonts w:ascii="仿宋" w:eastAsia="仿宋" w:hAnsi="仿宋" w:cs="宋体" w:hint="eastAsia"/>
          <w:kern w:val="0"/>
          <w:sz w:val="32"/>
          <w:szCs w:val="32"/>
        </w:rPr>
        <w:lastRenderedPageBreak/>
        <w:t>4</w:t>
      </w:r>
      <w:r w:rsidR="00B920C3" w:rsidRPr="00740EA3">
        <w:rPr>
          <w:rFonts w:ascii="仿宋" w:eastAsia="仿宋" w:hAnsi="仿宋" w:cs="宋体" w:hint="eastAsia"/>
          <w:kern w:val="0"/>
          <w:sz w:val="32"/>
          <w:szCs w:val="32"/>
        </w:rPr>
        <w:t>.</w:t>
      </w:r>
      <w:r w:rsidR="003B7FC3" w:rsidRPr="00740EA3">
        <w:rPr>
          <w:rFonts w:ascii="仿宋" w:eastAsia="仿宋" w:hAnsi="仿宋" w:cs="宋体" w:hint="eastAsia"/>
          <w:kern w:val="0"/>
          <w:sz w:val="32"/>
          <w:szCs w:val="32"/>
        </w:rPr>
        <w:t>其他支出是项目研究过程中发生的预算科目不包含的其他支出，应当在申请预算时单独列示，单独核定，不得填写不可预见费用。</w:t>
      </w:r>
    </w:p>
    <w:p w:rsidR="00FA33EE" w:rsidRPr="00E80BEC" w:rsidRDefault="00740EA3" w:rsidP="00E80BEC">
      <w:pPr>
        <w:widowControl/>
        <w:spacing w:line="360" w:lineRule="auto"/>
        <w:ind w:firstLineChars="200" w:firstLine="640"/>
        <w:rPr>
          <w:rFonts w:ascii="仿宋" w:eastAsia="仿宋" w:hAnsi="仿宋" w:cs="宋体"/>
          <w:kern w:val="0"/>
          <w:szCs w:val="21"/>
        </w:rPr>
      </w:pPr>
      <w:r>
        <w:rPr>
          <w:rFonts w:ascii="仿宋" w:eastAsia="仿宋" w:hAnsi="仿宋" w:cs="宋体" w:hint="eastAsia"/>
          <w:kern w:val="0"/>
          <w:sz w:val="32"/>
          <w:szCs w:val="32"/>
        </w:rPr>
        <w:t>5</w:t>
      </w:r>
      <w:r w:rsidR="00B920C3" w:rsidRPr="00740EA3">
        <w:rPr>
          <w:rFonts w:ascii="仿宋" w:eastAsia="仿宋" w:hAnsi="仿宋" w:cs="宋体" w:hint="eastAsia"/>
          <w:kern w:val="0"/>
          <w:sz w:val="32"/>
          <w:szCs w:val="32"/>
        </w:rPr>
        <w:t>.</w:t>
      </w:r>
      <w:r w:rsidR="003B7FC3" w:rsidRPr="00740EA3">
        <w:rPr>
          <w:rFonts w:ascii="仿宋" w:eastAsia="仿宋" w:hAnsi="仿宋" w:cs="宋体" w:hint="eastAsia"/>
          <w:kern w:val="0"/>
          <w:sz w:val="32"/>
          <w:szCs w:val="32"/>
        </w:rPr>
        <w:t>会议费/差旅费/国际合作与交流费超过10%</w:t>
      </w:r>
      <w:r w:rsidR="00B920C3" w:rsidRPr="00740EA3">
        <w:rPr>
          <w:rFonts w:ascii="仿宋" w:eastAsia="仿宋" w:hAnsi="仿宋" w:cs="宋体" w:hint="eastAsia"/>
          <w:kern w:val="0"/>
          <w:sz w:val="32"/>
          <w:szCs w:val="32"/>
        </w:rPr>
        <w:t>需</w:t>
      </w:r>
      <w:r w:rsidR="003B7FC3" w:rsidRPr="00740EA3">
        <w:rPr>
          <w:rFonts w:ascii="仿宋" w:eastAsia="仿宋" w:hAnsi="仿宋" w:cs="宋体" w:hint="eastAsia"/>
          <w:kern w:val="0"/>
          <w:sz w:val="32"/>
          <w:szCs w:val="32"/>
        </w:rPr>
        <w:t>提供测算依据。</w:t>
      </w:r>
      <w:r w:rsidRPr="00740EA3">
        <w:rPr>
          <w:rFonts w:ascii="仿宋" w:eastAsia="仿宋" w:hAnsi="仿宋" w:cs="宋体"/>
          <w:kern w:val="0"/>
          <w:szCs w:val="21"/>
        </w:rPr>
        <w:t xml:space="preserve"> </w:t>
      </w:r>
    </w:p>
    <w:p w:rsidR="00672487" w:rsidRPr="00FA33EE" w:rsidRDefault="00672487" w:rsidP="003B7FC3">
      <w:pPr>
        <w:ind w:firstLineChars="200" w:firstLine="420"/>
      </w:pPr>
    </w:p>
    <w:sectPr w:rsidR="00672487" w:rsidRPr="00FA33EE" w:rsidSect="00657E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36B" w:rsidRDefault="0090236B" w:rsidP="00FA33EE">
      <w:r>
        <w:separator/>
      </w:r>
    </w:p>
  </w:endnote>
  <w:endnote w:type="continuationSeparator" w:id="1">
    <w:p w:rsidR="0090236B" w:rsidRDefault="0090236B" w:rsidP="00FA33E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36B" w:rsidRDefault="0090236B" w:rsidP="00FA33EE">
      <w:r>
        <w:separator/>
      </w:r>
    </w:p>
  </w:footnote>
  <w:footnote w:type="continuationSeparator" w:id="1">
    <w:p w:rsidR="0090236B" w:rsidRDefault="0090236B" w:rsidP="00FA33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17D5"/>
    <w:rsid w:val="002F5983"/>
    <w:rsid w:val="003617D5"/>
    <w:rsid w:val="003B7FC3"/>
    <w:rsid w:val="005B4A9D"/>
    <w:rsid w:val="00657E47"/>
    <w:rsid w:val="00672487"/>
    <w:rsid w:val="00674666"/>
    <w:rsid w:val="00740EA3"/>
    <w:rsid w:val="0090236B"/>
    <w:rsid w:val="00B920C3"/>
    <w:rsid w:val="00E80BEC"/>
    <w:rsid w:val="00F93EF3"/>
    <w:rsid w:val="00FA33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33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33EE"/>
    <w:rPr>
      <w:sz w:val="18"/>
      <w:szCs w:val="18"/>
    </w:rPr>
  </w:style>
  <w:style w:type="paragraph" w:styleId="a4">
    <w:name w:val="footer"/>
    <w:basedOn w:val="a"/>
    <w:link w:val="Char0"/>
    <w:uiPriority w:val="99"/>
    <w:unhideWhenUsed/>
    <w:rsid w:val="00FA33EE"/>
    <w:pPr>
      <w:tabs>
        <w:tab w:val="center" w:pos="4153"/>
        <w:tab w:val="right" w:pos="8306"/>
      </w:tabs>
      <w:snapToGrid w:val="0"/>
      <w:jc w:val="left"/>
    </w:pPr>
    <w:rPr>
      <w:sz w:val="18"/>
      <w:szCs w:val="18"/>
    </w:rPr>
  </w:style>
  <w:style w:type="character" w:customStyle="1" w:styleId="Char0">
    <w:name w:val="页脚 Char"/>
    <w:basedOn w:val="a0"/>
    <w:link w:val="a4"/>
    <w:uiPriority w:val="99"/>
    <w:rsid w:val="00FA33EE"/>
    <w:rPr>
      <w:sz w:val="18"/>
      <w:szCs w:val="18"/>
    </w:rPr>
  </w:style>
  <w:style w:type="paragraph" w:styleId="a5">
    <w:name w:val="List Paragraph"/>
    <w:basedOn w:val="a"/>
    <w:uiPriority w:val="34"/>
    <w:qFormat/>
    <w:rsid w:val="003B7FC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76</Words>
  <Characters>437</Characters>
  <Application>Microsoft Office Word</Application>
  <DocSecurity>0</DocSecurity>
  <Lines>3</Lines>
  <Paragraphs>1</Paragraphs>
  <ScaleCrop>false</ScaleCrop>
  <Company>Microsoft</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张灶月</cp:lastModifiedBy>
  <cp:revision>6</cp:revision>
  <dcterms:created xsi:type="dcterms:W3CDTF">2020-08-04T07:53:00Z</dcterms:created>
  <dcterms:modified xsi:type="dcterms:W3CDTF">2021-06-18T08:02:00Z</dcterms:modified>
</cp:coreProperties>
</file>