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65" w:rsidRDefault="0039699D">
      <w:pPr>
        <w:spacing w:line="360" w:lineRule="auto"/>
        <w:jc w:val="left"/>
        <w:rPr>
          <w:rFonts w:ascii="黑体" w:eastAsia="黑体" w:hAnsi="黑体"/>
          <w:sz w:val="36"/>
          <w:szCs w:val="36"/>
        </w:rPr>
      </w:pPr>
      <w:r>
        <w:rPr>
          <w:rFonts w:ascii="黑体" w:eastAsia="黑体" w:hAnsi="黑体"/>
          <w:sz w:val="36"/>
          <w:szCs w:val="36"/>
        </w:rPr>
        <w:t>2018</w:t>
      </w:r>
      <w:r>
        <w:rPr>
          <w:rFonts w:ascii="黑体" w:eastAsia="黑体" w:hAnsi="黑体" w:hint="eastAsia"/>
          <w:sz w:val="36"/>
          <w:szCs w:val="36"/>
        </w:rPr>
        <w:t>年广东医学科技奖推荐项目公示表</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797"/>
      </w:tblGrid>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1.</w:t>
            </w:r>
            <w:r>
              <w:rPr>
                <w:rFonts w:ascii="仿宋" w:eastAsia="仿宋" w:hAnsi="仿宋" w:hint="eastAsia"/>
                <w:spacing w:val="2"/>
                <w:sz w:val="24"/>
                <w:szCs w:val="24"/>
              </w:rPr>
              <w:t>推荐奖种</w:t>
            </w:r>
          </w:p>
        </w:tc>
        <w:tc>
          <w:tcPr>
            <w:tcW w:w="8797" w:type="dxa"/>
          </w:tcPr>
          <w:p w:rsidR="004C7165" w:rsidRDefault="0039699D">
            <w:pPr>
              <w:spacing w:line="360" w:lineRule="auto"/>
              <w:jc w:val="left"/>
              <w:rPr>
                <w:rFonts w:ascii="宋体"/>
                <w:sz w:val="24"/>
                <w:szCs w:val="24"/>
              </w:rPr>
            </w:pPr>
            <w:r>
              <w:rPr>
                <w:rFonts w:ascii="宋体" w:hAnsi="宋体" w:hint="eastAsia"/>
                <w:sz w:val="24"/>
                <w:szCs w:val="24"/>
              </w:rPr>
              <w:t>广东医学科技奖医学科学技术奖</w:t>
            </w: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2.</w:t>
            </w:r>
            <w:r>
              <w:rPr>
                <w:rFonts w:ascii="仿宋" w:eastAsia="仿宋" w:hAnsi="仿宋" w:hint="eastAsia"/>
                <w:spacing w:val="2"/>
                <w:sz w:val="24"/>
                <w:szCs w:val="24"/>
              </w:rPr>
              <w:t>项目名称</w:t>
            </w:r>
          </w:p>
        </w:tc>
        <w:tc>
          <w:tcPr>
            <w:tcW w:w="8797" w:type="dxa"/>
          </w:tcPr>
          <w:p w:rsidR="004C7165" w:rsidRDefault="0039699D">
            <w:pPr>
              <w:spacing w:line="360" w:lineRule="auto"/>
              <w:jc w:val="left"/>
              <w:rPr>
                <w:rFonts w:ascii="宋体"/>
                <w:sz w:val="24"/>
                <w:szCs w:val="24"/>
              </w:rPr>
            </w:pPr>
            <w:r>
              <w:rPr>
                <w:rFonts w:ascii="宋体" w:hAnsi="宋体" w:hint="eastAsia"/>
                <w:sz w:val="24"/>
                <w:szCs w:val="24"/>
              </w:rPr>
              <w:t>个性化舌侧矫治器</w:t>
            </w:r>
            <w:r>
              <w:rPr>
                <w:rFonts w:ascii="宋体" w:hAnsi="宋体"/>
                <w:sz w:val="24"/>
                <w:szCs w:val="24"/>
              </w:rPr>
              <w:t>3D</w:t>
            </w:r>
            <w:r>
              <w:rPr>
                <w:rFonts w:ascii="宋体" w:hAnsi="宋体" w:hint="eastAsia"/>
                <w:sz w:val="24"/>
                <w:szCs w:val="24"/>
              </w:rPr>
              <w:t>打印技术研究与产业化</w:t>
            </w: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3.</w:t>
            </w:r>
            <w:r>
              <w:rPr>
                <w:rFonts w:ascii="仿宋" w:eastAsia="仿宋" w:hAnsi="仿宋" w:hint="eastAsia"/>
                <w:spacing w:val="2"/>
                <w:sz w:val="24"/>
                <w:szCs w:val="24"/>
              </w:rPr>
              <w:t>推荐单位</w:t>
            </w:r>
          </w:p>
        </w:tc>
        <w:tc>
          <w:tcPr>
            <w:tcW w:w="8797" w:type="dxa"/>
          </w:tcPr>
          <w:p w:rsidR="004C7165" w:rsidRDefault="0039699D">
            <w:pPr>
              <w:spacing w:line="360" w:lineRule="auto"/>
              <w:jc w:val="left"/>
              <w:rPr>
                <w:rFonts w:ascii="宋体"/>
                <w:sz w:val="24"/>
                <w:szCs w:val="24"/>
              </w:rPr>
            </w:pPr>
            <w:r>
              <w:rPr>
                <w:rFonts w:ascii="宋体" w:hAnsi="宋体" w:hint="eastAsia"/>
                <w:sz w:val="24"/>
                <w:szCs w:val="24"/>
              </w:rPr>
              <w:t>1暨南大学</w:t>
            </w:r>
            <w:r w:rsidR="003D4DCA">
              <w:rPr>
                <w:rFonts w:ascii="宋体" w:hAnsi="宋体" w:hint="eastAsia"/>
                <w:sz w:val="24"/>
                <w:szCs w:val="24"/>
              </w:rPr>
              <w:t>附属第一医院</w:t>
            </w:r>
            <w:r>
              <w:rPr>
                <w:rFonts w:ascii="宋体" w:hAnsi="宋体" w:hint="eastAsia"/>
                <w:sz w:val="24"/>
                <w:szCs w:val="24"/>
              </w:rPr>
              <w:t xml:space="preserve"> 2广州瑞通生物科技有限公司 3华南理工大学</w:t>
            </w: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4.</w:t>
            </w:r>
            <w:r>
              <w:rPr>
                <w:rFonts w:ascii="仿宋" w:eastAsia="仿宋" w:hAnsi="仿宋" w:hint="eastAsia"/>
                <w:spacing w:val="2"/>
                <w:sz w:val="24"/>
                <w:szCs w:val="24"/>
              </w:rPr>
              <w:t>推荐意见</w:t>
            </w:r>
          </w:p>
        </w:tc>
        <w:tc>
          <w:tcPr>
            <w:tcW w:w="8797" w:type="dxa"/>
          </w:tcPr>
          <w:p w:rsidR="004C7165" w:rsidRDefault="0039699D">
            <w:pPr>
              <w:spacing w:line="360" w:lineRule="auto"/>
              <w:jc w:val="left"/>
              <w:rPr>
                <w:rFonts w:ascii="宋体"/>
                <w:sz w:val="24"/>
                <w:szCs w:val="24"/>
              </w:rPr>
            </w:pPr>
            <w:r>
              <w:rPr>
                <w:rFonts w:ascii="宋体" w:hAnsi="宋体" w:hint="eastAsia"/>
                <w:sz w:val="24"/>
                <w:szCs w:val="24"/>
              </w:rPr>
              <w:t>推荐意见：</w:t>
            </w:r>
          </w:p>
          <w:p w:rsidR="004C7165" w:rsidRDefault="0039699D">
            <w:pPr>
              <w:spacing w:line="360" w:lineRule="auto"/>
              <w:ind w:firstLineChars="200" w:firstLine="480"/>
              <w:jc w:val="left"/>
              <w:rPr>
                <w:rFonts w:ascii="宋体"/>
                <w:sz w:val="24"/>
                <w:szCs w:val="24"/>
              </w:rPr>
            </w:pPr>
            <w:r>
              <w:rPr>
                <w:rFonts w:ascii="宋体" w:hAnsi="宋体" w:hint="eastAsia"/>
                <w:sz w:val="24"/>
                <w:szCs w:val="24"/>
              </w:rPr>
              <w:t>舌侧矫治是将唇侧矫治器置于牙齿的舌侧面进行牙齿矫正，最直接的好处是隐形美观，能充分保护患者的隐私。但舌侧矫治技术被认为是口腔正畸临床工作的难点之一，主要集中在四个方面：</w:t>
            </w:r>
            <w:r>
              <w:rPr>
                <w:rFonts w:ascii="宋体" w:hAnsi="宋体"/>
                <w:sz w:val="24"/>
                <w:szCs w:val="24"/>
              </w:rPr>
              <w:t>1</w:t>
            </w:r>
            <w:r>
              <w:rPr>
                <w:rFonts w:ascii="宋体" w:hAnsi="宋体" w:hint="eastAsia"/>
                <w:sz w:val="24"/>
                <w:szCs w:val="24"/>
              </w:rPr>
              <w:t>舌侧托槽容易脱落；</w:t>
            </w:r>
            <w:r>
              <w:rPr>
                <w:rFonts w:ascii="宋体" w:hAnsi="宋体"/>
                <w:sz w:val="24"/>
                <w:szCs w:val="24"/>
              </w:rPr>
              <w:t>2</w:t>
            </w:r>
            <w:r>
              <w:rPr>
                <w:rFonts w:ascii="宋体" w:hAnsi="宋体" w:hint="eastAsia"/>
                <w:sz w:val="24"/>
                <w:szCs w:val="24"/>
              </w:rPr>
              <w:t>粘接不准确；</w:t>
            </w:r>
            <w:r>
              <w:rPr>
                <w:rFonts w:ascii="宋体" w:hAnsi="宋体"/>
                <w:sz w:val="24"/>
                <w:szCs w:val="24"/>
              </w:rPr>
              <w:t>3</w:t>
            </w:r>
            <w:r>
              <w:rPr>
                <w:rFonts w:ascii="宋体" w:hAnsi="宋体" w:hint="eastAsia"/>
                <w:sz w:val="24"/>
                <w:szCs w:val="24"/>
              </w:rPr>
              <w:t>支抗难控制；</w:t>
            </w:r>
            <w:r>
              <w:rPr>
                <w:rFonts w:ascii="宋体" w:hAnsi="宋体"/>
                <w:sz w:val="24"/>
                <w:szCs w:val="24"/>
              </w:rPr>
              <w:t>4</w:t>
            </w:r>
            <w:r>
              <w:rPr>
                <w:rFonts w:ascii="宋体" w:hAnsi="宋体" w:hint="eastAsia"/>
                <w:sz w:val="24"/>
                <w:szCs w:val="24"/>
              </w:rPr>
              <w:t>操作困难。为了攻克传统舌侧矫治技术难点，自</w:t>
            </w:r>
            <w:r>
              <w:rPr>
                <w:rFonts w:ascii="宋体" w:hAnsi="宋体"/>
                <w:sz w:val="24"/>
                <w:szCs w:val="24"/>
              </w:rPr>
              <w:t>2008</w:t>
            </w:r>
            <w:r>
              <w:rPr>
                <w:rFonts w:ascii="宋体" w:hAnsi="宋体" w:hint="eastAsia"/>
                <w:sz w:val="24"/>
                <w:szCs w:val="24"/>
              </w:rPr>
              <w:t>年开始，本课题组利用获批广东省自然科学基金等课题（见附件），</w:t>
            </w:r>
            <w:r>
              <w:rPr>
                <w:rFonts w:ascii="宋体" w:hAnsi="宋体" w:cs="宋体" w:hint="eastAsia"/>
                <w:sz w:val="24"/>
                <w:szCs w:val="24"/>
              </w:rPr>
              <w:t>联合广州瑞通生物科技公司一起开展个性化舌侧矫治器的研发，研制出</w:t>
            </w:r>
            <w:r>
              <w:rPr>
                <w:rFonts w:ascii="宋体" w:hAnsi="宋体" w:hint="eastAsia"/>
                <w:sz w:val="24"/>
                <w:szCs w:val="24"/>
              </w:rPr>
              <w:t>具有自主知识产权（国内专利）的</w:t>
            </w:r>
            <w:r>
              <w:rPr>
                <w:rFonts w:ascii="宋体" w:hAnsi="宋体" w:cs="宋体" w:hint="eastAsia"/>
                <w:sz w:val="24"/>
                <w:szCs w:val="24"/>
              </w:rPr>
              <w:t>国内首款</w:t>
            </w:r>
            <w:r>
              <w:rPr>
                <w:rFonts w:ascii="宋体" w:hAnsi="宋体" w:hint="eastAsia"/>
                <w:sz w:val="24"/>
                <w:szCs w:val="24"/>
              </w:rPr>
              <w:t>个性化舌侧矫治器，注册商标为“</w:t>
            </w:r>
            <w:r>
              <w:rPr>
                <w:rFonts w:ascii="宋体" w:hAnsi="宋体"/>
                <w:sz w:val="24"/>
                <w:szCs w:val="24"/>
              </w:rPr>
              <w:t>eBrace</w:t>
            </w:r>
            <w:r>
              <w:rPr>
                <w:rFonts w:ascii="宋体" w:hAnsi="宋体" w:hint="eastAsia"/>
                <w:sz w:val="24"/>
                <w:szCs w:val="24"/>
              </w:rPr>
              <w:t>”。</w:t>
            </w:r>
            <w:r>
              <w:rPr>
                <w:rFonts w:ascii="宋体" w:hAnsi="宋体"/>
                <w:sz w:val="24"/>
                <w:szCs w:val="24"/>
              </w:rPr>
              <w:t>eBrace</w:t>
            </w:r>
            <w:r>
              <w:rPr>
                <w:rFonts w:ascii="宋体" w:hAnsi="宋体" w:hint="eastAsia"/>
                <w:sz w:val="24"/>
                <w:szCs w:val="24"/>
              </w:rPr>
              <w:t>个性化舌侧矫治器（以下简称</w:t>
            </w:r>
            <w:r>
              <w:rPr>
                <w:rFonts w:ascii="宋体" w:hAnsi="宋体"/>
                <w:sz w:val="24"/>
                <w:szCs w:val="24"/>
              </w:rPr>
              <w:t>eBrace</w:t>
            </w:r>
            <w:r>
              <w:rPr>
                <w:rFonts w:ascii="宋体" w:hAnsi="宋体" w:hint="eastAsia"/>
                <w:sz w:val="24"/>
                <w:szCs w:val="24"/>
              </w:rPr>
              <w:t>）被临床证实能够有效克服传统舌侧矫治器的不足。</w:t>
            </w:r>
            <w:r>
              <w:rPr>
                <w:rFonts w:ascii="宋体" w:hAnsi="宋体"/>
                <w:sz w:val="24"/>
                <w:szCs w:val="24"/>
              </w:rPr>
              <w:t>eBrace</w:t>
            </w:r>
            <w:r>
              <w:rPr>
                <w:rFonts w:ascii="宋体" w:hAnsi="宋体" w:hint="eastAsia"/>
                <w:sz w:val="24"/>
                <w:szCs w:val="24"/>
              </w:rPr>
              <w:t>于</w:t>
            </w:r>
            <w:r>
              <w:rPr>
                <w:rFonts w:ascii="宋体" w:hAnsi="宋体"/>
                <w:sz w:val="24"/>
                <w:szCs w:val="24"/>
              </w:rPr>
              <w:t>2011</w:t>
            </w:r>
            <w:r>
              <w:rPr>
                <w:rFonts w:ascii="宋体" w:hAnsi="宋体" w:hint="eastAsia"/>
                <w:sz w:val="24"/>
                <w:szCs w:val="24"/>
              </w:rPr>
              <w:t>年取得广东省食品药品监督局医疗器械生产许可证及注册证，成为继</w:t>
            </w:r>
            <w:r>
              <w:rPr>
                <w:rFonts w:ascii="宋体" w:hAnsi="宋体"/>
                <w:sz w:val="24"/>
                <w:szCs w:val="24"/>
              </w:rPr>
              <w:t>3M</w:t>
            </w:r>
            <w:r>
              <w:rPr>
                <w:rFonts w:ascii="宋体" w:hAnsi="宋体" w:hint="eastAsia"/>
                <w:sz w:val="24"/>
                <w:szCs w:val="24"/>
              </w:rPr>
              <w:t>（</w:t>
            </w:r>
            <w:r>
              <w:rPr>
                <w:rFonts w:ascii="宋体" w:hAnsi="宋体"/>
                <w:sz w:val="24"/>
                <w:szCs w:val="24"/>
              </w:rPr>
              <w:t>Incognito</w:t>
            </w:r>
            <w:r>
              <w:rPr>
                <w:rFonts w:ascii="宋体" w:hAnsi="宋体" w:hint="eastAsia"/>
                <w:sz w:val="24"/>
                <w:szCs w:val="24"/>
              </w:rPr>
              <w:t>个性化舌侧矫治器）产品之后，全球第二、国内首个符合临床标准生产销售个性化舌侧矫治器产品。该产品最先在暨大附属第一临床医学院正畸科进行临床试验，临床治疗达到预期效果。已发表相关论文</w:t>
            </w:r>
            <w:r>
              <w:rPr>
                <w:rFonts w:ascii="宋体" w:hAnsi="宋体"/>
                <w:sz w:val="24"/>
                <w:szCs w:val="24"/>
              </w:rPr>
              <w:t>4</w:t>
            </w:r>
            <w:r>
              <w:rPr>
                <w:rFonts w:ascii="宋体" w:hAnsi="宋体" w:hint="eastAsia"/>
                <w:sz w:val="24"/>
                <w:szCs w:val="24"/>
              </w:rPr>
              <w:t>篇。</w:t>
            </w:r>
            <w:r>
              <w:rPr>
                <w:rFonts w:ascii="宋体" w:hAnsi="宋体"/>
                <w:sz w:val="24"/>
                <w:szCs w:val="24"/>
              </w:rPr>
              <w:t>eBrace</w:t>
            </w:r>
            <w:r>
              <w:rPr>
                <w:rFonts w:ascii="宋体" w:hAnsi="宋体" w:hint="eastAsia"/>
                <w:sz w:val="24"/>
                <w:szCs w:val="24"/>
              </w:rPr>
              <w:t>被批准进入国内数十家口腔院校及</w:t>
            </w:r>
            <w:r>
              <w:rPr>
                <w:rFonts w:ascii="宋体" w:hAnsi="宋体"/>
                <w:sz w:val="24"/>
                <w:szCs w:val="24"/>
              </w:rPr>
              <w:t>200</w:t>
            </w:r>
            <w:r>
              <w:rPr>
                <w:rFonts w:ascii="宋体" w:hAnsi="宋体" w:hint="eastAsia"/>
                <w:sz w:val="24"/>
                <w:szCs w:val="24"/>
              </w:rPr>
              <w:t>多家</w:t>
            </w:r>
            <w:r>
              <w:rPr>
                <w:rFonts w:ascii="宋体" w:hAnsi="宋体" w:hint="eastAsia"/>
                <w:sz w:val="24"/>
                <w:szCs w:val="24"/>
              </w:rPr>
              <w:lastRenderedPageBreak/>
              <w:t>医疗机构进行临床应用。产品还销往美、俄、日、英等</w:t>
            </w:r>
            <w:r>
              <w:rPr>
                <w:rFonts w:ascii="宋体" w:hAnsi="宋体"/>
                <w:sz w:val="24"/>
                <w:szCs w:val="24"/>
              </w:rPr>
              <w:t>40</w:t>
            </w:r>
            <w:r>
              <w:rPr>
                <w:rFonts w:ascii="宋体" w:hAnsi="宋体" w:hint="eastAsia"/>
                <w:sz w:val="24"/>
                <w:szCs w:val="24"/>
              </w:rPr>
              <w:t>多个国家和地区。</w:t>
            </w:r>
            <w:r>
              <w:rPr>
                <w:rFonts w:ascii="宋体" w:hAnsi="宋体"/>
                <w:sz w:val="24"/>
                <w:szCs w:val="24"/>
              </w:rPr>
              <w:t>eBrace</w:t>
            </w:r>
            <w:r>
              <w:rPr>
                <w:rFonts w:ascii="宋体" w:hAnsi="宋体" w:hint="eastAsia"/>
                <w:sz w:val="24"/>
                <w:szCs w:val="24"/>
              </w:rPr>
              <w:t>部分内容被以色列、捷克等国写入研究生教材。课题组能紧扣临床热点问题，依托暨南大学的研发基础，联合企业一起成功走出一条从临床问题出发、借助</w:t>
            </w:r>
            <w:r>
              <w:rPr>
                <w:rFonts w:ascii="宋体" w:hAnsi="宋体"/>
                <w:sz w:val="24"/>
                <w:szCs w:val="24"/>
              </w:rPr>
              <w:t>3D</w:t>
            </w:r>
            <w:r>
              <w:rPr>
                <w:rFonts w:ascii="宋体" w:hAnsi="宋体" w:hint="eastAsia"/>
                <w:sz w:val="24"/>
                <w:szCs w:val="24"/>
              </w:rPr>
              <w:t>打印技术、申请专利、发表论文、医学转化、产品生产及临床研究的产学研之路。该研究创新性及行业的示范作用强，兼有良好的经济效益与社会效益。同意推荐参评。</w:t>
            </w:r>
          </w:p>
          <w:p w:rsidR="004C7165" w:rsidRDefault="004C7165">
            <w:pPr>
              <w:spacing w:line="360" w:lineRule="auto"/>
              <w:jc w:val="left"/>
              <w:rPr>
                <w:rFonts w:ascii="宋体"/>
                <w:sz w:val="24"/>
                <w:szCs w:val="24"/>
              </w:rPr>
            </w:pP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lastRenderedPageBreak/>
              <w:t>5.</w:t>
            </w:r>
            <w:r>
              <w:rPr>
                <w:rFonts w:ascii="仿宋" w:eastAsia="仿宋" w:hAnsi="仿宋" w:hint="eastAsia"/>
                <w:spacing w:val="2"/>
                <w:sz w:val="24"/>
                <w:szCs w:val="24"/>
              </w:rPr>
              <w:t>项目简介</w:t>
            </w:r>
          </w:p>
        </w:tc>
        <w:tc>
          <w:tcPr>
            <w:tcW w:w="8797" w:type="dxa"/>
          </w:tcPr>
          <w:p w:rsidR="004C7165" w:rsidRDefault="0039699D">
            <w:pPr>
              <w:spacing w:line="360" w:lineRule="auto"/>
              <w:ind w:firstLineChars="200" w:firstLine="480"/>
              <w:jc w:val="left"/>
              <w:textAlignment w:val="top"/>
              <w:rPr>
                <w:rFonts w:ascii="宋体"/>
                <w:sz w:val="24"/>
                <w:szCs w:val="24"/>
              </w:rPr>
            </w:pPr>
            <w:r>
              <w:rPr>
                <w:rFonts w:ascii="宋体" w:hAnsi="宋体" w:hint="eastAsia"/>
                <w:sz w:val="24"/>
                <w:szCs w:val="24"/>
              </w:rPr>
              <w:t>舌侧矫治是将唇侧矫治器置于牙齿的舌侧面进行牙齿矫正，最直接的好处是隐形美观，治疗过程不被别人察觉，能充分保护患者的隐私。但舌侧矫治技术被认为是口腔正畸临床工作的难点之一，十年前国内教科书也只是粗略带过，国内临床应用也只有在个别院校的个别医生小范围开展，相关的医教研工作停滞不前。传统舌侧矫治技术的主要难点集中在四个方面：</w:t>
            </w:r>
            <w:r>
              <w:rPr>
                <w:rFonts w:ascii="宋体" w:hAnsi="宋体"/>
                <w:sz w:val="24"/>
                <w:szCs w:val="24"/>
              </w:rPr>
              <w:t>1</w:t>
            </w:r>
            <w:r>
              <w:rPr>
                <w:rFonts w:ascii="宋体" w:hAnsi="宋体" w:hint="eastAsia"/>
                <w:sz w:val="24"/>
                <w:szCs w:val="24"/>
              </w:rPr>
              <w:t>舌侧托槽容易脱落；</w:t>
            </w:r>
            <w:r>
              <w:rPr>
                <w:rFonts w:ascii="宋体" w:hAnsi="宋体"/>
                <w:sz w:val="24"/>
                <w:szCs w:val="24"/>
              </w:rPr>
              <w:t>2</w:t>
            </w:r>
            <w:r>
              <w:rPr>
                <w:rFonts w:ascii="宋体" w:hAnsi="宋体" w:hint="eastAsia"/>
                <w:sz w:val="24"/>
                <w:szCs w:val="24"/>
              </w:rPr>
              <w:t>粘接不准确；</w:t>
            </w:r>
            <w:r>
              <w:rPr>
                <w:rFonts w:ascii="宋体" w:hAnsi="宋体"/>
                <w:sz w:val="24"/>
                <w:szCs w:val="24"/>
              </w:rPr>
              <w:t>3</w:t>
            </w:r>
            <w:r>
              <w:rPr>
                <w:rFonts w:ascii="宋体" w:hAnsi="宋体" w:hint="eastAsia"/>
                <w:sz w:val="24"/>
                <w:szCs w:val="24"/>
              </w:rPr>
              <w:t>支抗难控制；</w:t>
            </w:r>
            <w:r>
              <w:rPr>
                <w:rFonts w:ascii="宋体" w:hAnsi="宋体"/>
                <w:sz w:val="24"/>
                <w:szCs w:val="24"/>
              </w:rPr>
              <w:t>4</w:t>
            </w:r>
            <w:r>
              <w:rPr>
                <w:rFonts w:ascii="宋体" w:hAnsi="宋体" w:hint="eastAsia"/>
                <w:sz w:val="24"/>
                <w:szCs w:val="24"/>
              </w:rPr>
              <w:t>操作困难。申报人是国内较早开展个体化舌侧矫治及个体化矫治器研发的医师之一，为了攻克传统舌侧矫治技术难点，自</w:t>
            </w:r>
            <w:r>
              <w:rPr>
                <w:rFonts w:ascii="宋体" w:hAnsi="宋体"/>
                <w:sz w:val="24"/>
                <w:szCs w:val="24"/>
              </w:rPr>
              <w:t>2008</w:t>
            </w:r>
            <w:r>
              <w:rPr>
                <w:rFonts w:ascii="宋体" w:hAnsi="宋体" w:hint="eastAsia"/>
                <w:sz w:val="24"/>
                <w:szCs w:val="24"/>
              </w:rPr>
              <w:t>年开始，本课题组利用获批的广东省自然科学基金、暨南大学中央财政科研基金及后续课题（见附件），在国内率先利用</w:t>
            </w:r>
            <w:r>
              <w:rPr>
                <w:rFonts w:ascii="宋体" w:hAnsi="宋体"/>
                <w:sz w:val="24"/>
                <w:szCs w:val="24"/>
              </w:rPr>
              <w:t>3D</w:t>
            </w:r>
            <w:r>
              <w:rPr>
                <w:rFonts w:ascii="宋体" w:hAnsi="宋体" w:hint="eastAsia"/>
                <w:sz w:val="24"/>
                <w:szCs w:val="24"/>
              </w:rPr>
              <w:t>打印技术研发</w:t>
            </w:r>
            <w:r>
              <w:rPr>
                <w:rFonts w:ascii="宋体" w:hAnsi="宋体" w:cs="宋体" w:hint="eastAsia"/>
                <w:sz w:val="24"/>
                <w:szCs w:val="24"/>
              </w:rPr>
              <w:t>个性化舌侧矫治器，以无偿转让技术成果的方式，联合广州瑞通生物科技公司一起开展个性化舌侧矫治器的研发，成功研制出</w:t>
            </w:r>
            <w:r>
              <w:rPr>
                <w:rFonts w:ascii="宋体" w:hAnsi="宋体" w:hint="eastAsia"/>
                <w:sz w:val="24"/>
                <w:szCs w:val="24"/>
              </w:rPr>
              <w:t>具有完全自主知识产权（国内发明专利，见附件）的</w:t>
            </w:r>
            <w:r>
              <w:rPr>
                <w:rFonts w:ascii="宋体" w:hAnsi="宋体" w:cs="宋体" w:hint="eastAsia"/>
                <w:sz w:val="24"/>
                <w:szCs w:val="24"/>
              </w:rPr>
              <w:t>国内首款</w:t>
            </w:r>
            <w:r>
              <w:rPr>
                <w:rFonts w:ascii="宋体" w:hAnsi="宋体" w:hint="eastAsia"/>
                <w:sz w:val="24"/>
                <w:szCs w:val="24"/>
              </w:rPr>
              <w:t>个性化舌侧矫治器，注册商标为“</w:t>
            </w:r>
            <w:r>
              <w:rPr>
                <w:rFonts w:ascii="宋体" w:hAnsi="宋体"/>
                <w:sz w:val="24"/>
                <w:szCs w:val="24"/>
              </w:rPr>
              <w:t>eBrace</w:t>
            </w:r>
            <w:r>
              <w:rPr>
                <w:rFonts w:ascii="宋体" w:hAnsi="宋体" w:hint="eastAsia"/>
                <w:sz w:val="24"/>
                <w:szCs w:val="24"/>
              </w:rPr>
              <w:t>”。</w:t>
            </w:r>
            <w:r>
              <w:rPr>
                <w:rFonts w:ascii="宋体" w:hAnsi="宋体"/>
                <w:sz w:val="24"/>
                <w:szCs w:val="24"/>
              </w:rPr>
              <w:t>eBrace</w:t>
            </w:r>
            <w:r>
              <w:rPr>
                <w:rFonts w:ascii="宋体" w:hAnsi="宋体" w:hint="eastAsia"/>
                <w:sz w:val="24"/>
                <w:szCs w:val="24"/>
              </w:rPr>
              <w:t>个性化舌侧矫治器（以下简称</w:t>
            </w:r>
            <w:r>
              <w:rPr>
                <w:rFonts w:ascii="宋体" w:hAnsi="宋体"/>
                <w:sz w:val="24"/>
                <w:szCs w:val="24"/>
              </w:rPr>
              <w:t>eBrace</w:t>
            </w:r>
            <w:r>
              <w:rPr>
                <w:rFonts w:ascii="宋体" w:hAnsi="宋体" w:hint="eastAsia"/>
                <w:sz w:val="24"/>
                <w:szCs w:val="24"/>
              </w:rPr>
              <w:t>）的主要优点在于：</w:t>
            </w:r>
            <w:r>
              <w:rPr>
                <w:rFonts w:ascii="宋体" w:hAnsi="宋体"/>
                <w:sz w:val="24"/>
                <w:szCs w:val="24"/>
              </w:rPr>
              <w:t>1</w:t>
            </w:r>
            <w:r>
              <w:rPr>
                <w:rFonts w:ascii="宋体" w:hAnsi="宋体" w:hint="eastAsia"/>
                <w:sz w:val="24"/>
                <w:szCs w:val="24"/>
              </w:rPr>
              <w:t>量身定做牙齿的托槽，底板与牙齿舌侧面一致，消除了托槽容易脱落的缺点；</w:t>
            </w:r>
            <w:r>
              <w:rPr>
                <w:rFonts w:ascii="宋体" w:hAnsi="宋体"/>
                <w:sz w:val="24"/>
                <w:szCs w:val="24"/>
              </w:rPr>
              <w:t>2</w:t>
            </w:r>
            <w:r>
              <w:rPr>
                <w:rFonts w:ascii="宋体" w:hAnsi="宋体" w:hint="eastAsia"/>
                <w:sz w:val="24"/>
                <w:szCs w:val="24"/>
              </w:rPr>
              <w:t>双膜制作个体化粘接托盘，以间接粘接的方式粘接托槽，克服了托槽粘接不准确的弊端；</w:t>
            </w:r>
            <w:r>
              <w:rPr>
                <w:rFonts w:ascii="宋体" w:hAnsi="宋体"/>
                <w:sz w:val="24"/>
                <w:szCs w:val="24"/>
              </w:rPr>
              <w:t>3</w:t>
            </w:r>
            <w:r>
              <w:rPr>
                <w:rFonts w:ascii="宋体" w:hAnsi="宋体" w:hint="eastAsia"/>
                <w:sz w:val="24"/>
                <w:szCs w:val="24"/>
              </w:rPr>
              <w:t>以种植体支抗为主导，克服了传统舌侧矫治器的支抗不足；</w:t>
            </w:r>
            <w:r>
              <w:rPr>
                <w:rFonts w:ascii="宋体" w:hAnsi="宋体"/>
                <w:sz w:val="24"/>
                <w:szCs w:val="24"/>
              </w:rPr>
              <w:t>4</w:t>
            </w:r>
            <w:r>
              <w:rPr>
                <w:rFonts w:ascii="宋体" w:hAnsi="宋体" w:hint="eastAsia"/>
                <w:sz w:val="24"/>
                <w:szCs w:val="24"/>
              </w:rPr>
              <w:t>托槽采用前牙垂直槽沟，后牙水平槽沟以及自锁的方式，显著降低矫治器的操作难度。</w:t>
            </w:r>
            <w:r>
              <w:rPr>
                <w:rFonts w:ascii="宋体" w:hAnsi="宋体"/>
                <w:sz w:val="24"/>
                <w:szCs w:val="24"/>
              </w:rPr>
              <w:t>eBrace</w:t>
            </w:r>
            <w:r>
              <w:rPr>
                <w:rFonts w:ascii="宋体" w:hAnsi="宋体" w:hint="eastAsia"/>
                <w:sz w:val="24"/>
                <w:szCs w:val="24"/>
              </w:rPr>
              <w:t>于</w:t>
            </w:r>
            <w:r>
              <w:rPr>
                <w:rFonts w:ascii="宋体" w:hAnsi="宋体"/>
                <w:sz w:val="24"/>
                <w:szCs w:val="24"/>
              </w:rPr>
              <w:t>2011</w:t>
            </w:r>
            <w:r>
              <w:rPr>
                <w:rFonts w:ascii="宋体" w:hAnsi="宋体" w:hint="eastAsia"/>
                <w:sz w:val="24"/>
                <w:szCs w:val="24"/>
              </w:rPr>
              <w:t>年取得广东省食品药品监督局医疗器械生产许可证及注册证（见附件），成为继</w:t>
            </w:r>
            <w:r>
              <w:rPr>
                <w:rFonts w:ascii="宋体" w:hAnsi="宋体"/>
                <w:sz w:val="24"/>
                <w:szCs w:val="24"/>
              </w:rPr>
              <w:t>3M</w:t>
            </w:r>
            <w:r>
              <w:rPr>
                <w:rFonts w:ascii="宋体" w:hAnsi="宋体" w:hint="eastAsia"/>
                <w:sz w:val="24"/>
                <w:szCs w:val="24"/>
              </w:rPr>
              <w:t>（</w:t>
            </w:r>
            <w:r>
              <w:rPr>
                <w:rFonts w:ascii="宋体" w:hAnsi="宋体"/>
                <w:sz w:val="24"/>
                <w:szCs w:val="24"/>
              </w:rPr>
              <w:t>Incognito</w:t>
            </w:r>
            <w:r>
              <w:rPr>
                <w:rFonts w:ascii="宋体" w:hAnsi="宋体" w:hint="eastAsia"/>
                <w:sz w:val="24"/>
                <w:szCs w:val="24"/>
              </w:rPr>
              <w:t>个性化舌侧矫治器）产品之后，全球第二、国内首个符合临床生产销售个性化舌侧矫治器产品。该产品最早是在暨大附属第一临床医学院口腔正畸科进行临床应用，达到预期治疗效果，证实了</w:t>
            </w:r>
            <w:r>
              <w:rPr>
                <w:rFonts w:ascii="宋体" w:hAnsi="宋体"/>
                <w:sz w:val="24"/>
                <w:szCs w:val="24"/>
              </w:rPr>
              <w:t>eBrace</w:t>
            </w:r>
            <w:r>
              <w:rPr>
                <w:rFonts w:ascii="宋体" w:hAnsi="宋体" w:hint="eastAsia"/>
                <w:sz w:val="24"/>
                <w:szCs w:val="24"/>
              </w:rPr>
              <w:t>能够有效克服传统舌侧矫治器的不足，其疗效达到与唇侧矫治器相同的效果。主要完成人曾受邀到上海交大口腔医院、西安交大口腔医院、中国医科大口腔医院及中大光华口腔医院等全国九家著名口腔医院进行巡回讲学，推广个性化舌侧矫治技术。</w:t>
            </w:r>
            <w:r>
              <w:rPr>
                <w:rFonts w:ascii="宋体" w:hAnsi="宋体"/>
                <w:sz w:val="24"/>
                <w:szCs w:val="24"/>
              </w:rPr>
              <w:t>eBrace</w:t>
            </w:r>
            <w:r>
              <w:rPr>
                <w:rFonts w:ascii="宋体" w:hAnsi="宋体" w:hint="eastAsia"/>
                <w:sz w:val="24"/>
                <w:szCs w:val="24"/>
              </w:rPr>
              <w:t>产品被批准进入</w:t>
            </w:r>
            <w:r>
              <w:rPr>
                <w:rFonts w:ascii="宋体" w:hAnsi="宋体" w:hint="eastAsia"/>
                <w:sz w:val="24"/>
                <w:szCs w:val="24"/>
              </w:rPr>
              <w:lastRenderedPageBreak/>
              <w:t>国内顶尖医学院校包括北大口腔医学院、华西口腔医学院及上海交大口腔医学院等数十家口腔院校及</w:t>
            </w:r>
            <w:r>
              <w:rPr>
                <w:rFonts w:ascii="宋体" w:hAnsi="宋体"/>
                <w:sz w:val="24"/>
                <w:szCs w:val="24"/>
              </w:rPr>
              <w:t>200</w:t>
            </w:r>
            <w:r>
              <w:rPr>
                <w:rFonts w:ascii="宋体" w:hAnsi="宋体" w:hint="eastAsia"/>
                <w:sz w:val="24"/>
                <w:szCs w:val="24"/>
              </w:rPr>
              <w:t>多家医疗机构进行临床应用，临床效果反映良好。产品还销往美、俄、日、英等</w:t>
            </w:r>
            <w:r>
              <w:rPr>
                <w:rFonts w:ascii="宋体" w:hAnsi="宋体"/>
                <w:sz w:val="24"/>
                <w:szCs w:val="24"/>
              </w:rPr>
              <w:t>40</w:t>
            </w:r>
            <w:r>
              <w:rPr>
                <w:rFonts w:ascii="宋体" w:hAnsi="宋体" w:hint="eastAsia"/>
                <w:sz w:val="24"/>
                <w:szCs w:val="24"/>
              </w:rPr>
              <w:t>多个国家和地区。随着舌侧矫治技术的临床普及应用，个性化舌侧矫治技术被写入人卫版的研究生正畸教材，</w:t>
            </w:r>
            <w:r>
              <w:rPr>
                <w:rFonts w:ascii="宋体" w:hAnsi="宋体"/>
                <w:sz w:val="24"/>
                <w:szCs w:val="24"/>
              </w:rPr>
              <w:t>eBrace</w:t>
            </w:r>
            <w:r>
              <w:rPr>
                <w:rFonts w:ascii="宋体" w:hAnsi="宋体" w:hint="eastAsia"/>
                <w:sz w:val="24"/>
                <w:szCs w:val="24"/>
              </w:rPr>
              <w:t>个性化舌侧矫治器的矫治特点被以色列、捷克（见附件）等国写进了研究生教材中。</w:t>
            </w:r>
            <w:r>
              <w:rPr>
                <w:rFonts w:ascii="宋体" w:hAnsi="宋体"/>
                <w:sz w:val="24"/>
                <w:szCs w:val="24"/>
              </w:rPr>
              <w:t>eBrace</w:t>
            </w:r>
            <w:r>
              <w:rPr>
                <w:rFonts w:ascii="宋体" w:hAnsi="宋体" w:hint="eastAsia"/>
                <w:sz w:val="24"/>
                <w:szCs w:val="24"/>
              </w:rPr>
              <w:t>临床与技术研究也发表在国内外权威杂志上（见附件）。随着研究深入，课题组研究范围已从个性化舌侧矫治器向个性化唇侧、个性化及数字化矫治器方向拓展，相继获批到多项省部级课题（见附件）。成功走出一条从临床热点问题出发、借助</w:t>
            </w:r>
            <w:r>
              <w:rPr>
                <w:rFonts w:ascii="宋体" w:hAnsi="宋体"/>
                <w:sz w:val="24"/>
                <w:szCs w:val="24"/>
              </w:rPr>
              <w:t>3D</w:t>
            </w:r>
            <w:r>
              <w:rPr>
                <w:rFonts w:ascii="宋体" w:hAnsi="宋体" w:hint="eastAsia"/>
                <w:sz w:val="24"/>
                <w:szCs w:val="24"/>
              </w:rPr>
              <w:t>打印技术、申请专利、新产品研发、发表论文、医学转化、产品生产、临床研究及企业同步发展的产学研之路，同时也取得了良好的经济效益与社会效益。在个性化舌侧矫治器的研发及推广应用上处于国内领先水平。</w:t>
            </w:r>
          </w:p>
          <w:p w:rsidR="004C7165" w:rsidRDefault="004C7165">
            <w:pPr>
              <w:spacing w:line="360" w:lineRule="auto"/>
              <w:jc w:val="left"/>
              <w:rPr>
                <w:rFonts w:ascii="宋体"/>
                <w:sz w:val="24"/>
                <w:szCs w:val="24"/>
              </w:rPr>
            </w:pP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lastRenderedPageBreak/>
              <w:t>6.</w:t>
            </w:r>
            <w:r>
              <w:rPr>
                <w:rFonts w:ascii="仿宋" w:eastAsia="仿宋" w:hAnsi="仿宋" w:hint="eastAsia"/>
                <w:spacing w:val="2"/>
                <w:sz w:val="24"/>
                <w:szCs w:val="24"/>
              </w:rPr>
              <w:t>客观评价</w:t>
            </w:r>
          </w:p>
        </w:tc>
        <w:tc>
          <w:tcPr>
            <w:tcW w:w="8797" w:type="dxa"/>
          </w:tcPr>
          <w:p w:rsidR="004C7165" w:rsidRDefault="0039699D">
            <w:pPr>
              <w:adjustRightInd w:val="0"/>
              <w:snapToGrid w:val="0"/>
              <w:spacing w:before="120" w:after="120" w:line="360" w:lineRule="auto"/>
              <w:ind w:firstLineChars="100" w:firstLine="240"/>
              <w:jc w:val="left"/>
              <w:textAlignment w:val="top"/>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促使国内舌侧矫治医教研水平的全面提升：舌侧矫治是将唇侧矫治器置于牙齿的舌侧面进行牙齿矫正，最直接的好处是隐形美观，治疗过程不被别人察觉，能充分保护患者的隐私。但舌侧矫治技术被认为是口腔正畸临床工作的难点之一，十年前国内教科书也只是粗略带过，国内临床应用也只有在个别院校的个别医生小范围开展，相关的医教研工作停滞不前。自</w:t>
            </w:r>
            <w:r>
              <w:rPr>
                <w:rFonts w:ascii="宋体" w:hAnsi="宋体"/>
                <w:sz w:val="24"/>
                <w:szCs w:val="24"/>
              </w:rPr>
              <w:t>eBrace</w:t>
            </w:r>
            <w:r>
              <w:rPr>
                <w:rFonts w:ascii="宋体" w:hAnsi="宋体" w:hint="eastAsia"/>
                <w:sz w:val="24"/>
                <w:szCs w:val="24"/>
              </w:rPr>
              <w:t>个性化舌侧矫治器推出市场后，每年新增使用</w:t>
            </w:r>
            <w:r>
              <w:rPr>
                <w:rFonts w:ascii="宋体" w:hAnsi="宋体"/>
                <w:sz w:val="24"/>
                <w:szCs w:val="24"/>
              </w:rPr>
              <w:t>eBrace</w:t>
            </w:r>
            <w:r>
              <w:rPr>
                <w:rFonts w:ascii="宋体" w:hAnsi="宋体" w:hint="eastAsia"/>
                <w:sz w:val="24"/>
                <w:szCs w:val="24"/>
              </w:rPr>
              <w:t>个性化舌侧矫治病例约</w:t>
            </w:r>
            <w:r>
              <w:rPr>
                <w:rFonts w:ascii="宋体" w:hAnsi="宋体"/>
                <w:sz w:val="24"/>
                <w:szCs w:val="24"/>
              </w:rPr>
              <w:t>2000</w:t>
            </w:r>
            <w:r>
              <w:rPr>
                <w:rFonts w:ascii="宋体" w:hAnsi="宋体" w:hint="eastAsia"/>
                <w:sz w:val="24"/>
                <w:szCs w:val="24"/>
              </w:rPr>
              <w:t>例，由于它的操作相对简单，方法容易掌握，又能够有效克服传统舌侧矫治器的不足，疗效达到与唇侧矫治器相同的效果，舌侧矫治的“神秘”面纱被越来越多正畸医师所揭开，逐渐成为平常百姓能够选择的可使用矫治器。每年的个性化舌侧矫治学习班也吸引不少正畸医师关注。高等医学院校的研究生也纷纷加入个性化舌侧矫治技术的临床与基础理论研究。主要完成人曾受邀到上海交大口腔医院、西安交大口腔医院、中国医科大口腔医院及中大光华口腔医院等全国九家著名口腔医院进行巡回讲学，推广个性化舌侧矫治技术。</w:t>
            </w:r>
            <w:r>
              <w:rPr>
                <w:rFonts w:ascii="宋体" w:hAnsi="宋体"/>
                <w:sz w:val="24"/>
                <w:szCs w:val="24"/>
              </w:rPr>
              <w:t>eBrace</w:t>
            </w:r>
            <w:r>
              <w:rPr>
                <w:rFonts w:ascii="宋体" w:hAnsi="宋体" w:hint="eastAsia"/>
                <w:sz w:val="24"/>
                <w:szCs w:val="24"/>
              </w:rPr>
              <w:t>产品被批准进入国内顶尖医学院校包括北大口腔医学院、华西口腔医学院及上海交大口腔医学院等数十家口腔院校及</w:t>
            </w:r>
            <w:r>
              <w:rPr>
                <w:rFonts w:ascii="宋体" w:hAnsi="宋体"/>
                <w:sz w:val="24"/>
                <w:szCs w:val="24"/>
              </w:rPr>
              <w:t>200</w:t>
            </w:r>
            <w:r>
              <w:rPr>
                <w:rFonts w:ascii="宋体" w:hAnsi="宋体" w:hint="eastAsia"/>
                <w:sz w:val="24"/>
                <w:szCs w:val="24"/>
              </w:rPr>
              <w:t>多家医疗机构进行临床应用，临床效果反映良好。产品还销往美、俄、日、英等</w:t>
            </w:r>
            <w:r>
              <w:rPr>
                <w:rFonts w:ascii="宋体" w:hAnsi="宋体"/>
                <w:sz w:val="24"/>
                <w:szCs w:val="24"/>
              </w:rPr>
              <w:t>40</w:t>
            </w:r>
            <w:r>
              <w:rPr>
                <w:rFonts w:ascii="宋体" w:hAnsi="宋体" w:hint="eastAsia"/>
                <w:sz w:val="24"/>
                <w:szCs w:val="24"/>
              </w:rPr>
              <w:t>多个国家和地区。随着舌侧矫治技术的临床普及应用，个性化舌侧矫治技术被写入人卫版的研究生正畸教材，</w:t>
            </w:r>
            <w:r>
              <w:rPr>
                <w:rFonts w:ascii="宋体" w:hAnsi="宋体"/>
                <w:sz w:val="24"/>
                <w:szCs w:val="24"/>
              </w:rPr>
              <w:t>eBrace</w:t>
            </w:r>
            <w:r>
              <w:rPr>
                <w:rFonts w:ascii="宋体" w:hAnsi="宋体" w:hint="eastAsia"/>
                <w:sz w:val="24"/>
                <w:szCs w:val="24"/>
              </w:rPr>
              <w:t>个性化舌侧矫治器的矫治特点被以色列、捷克（见附件）等国写进了研</w:t>
            </w:r>
            <w:r>
              <w:rPr>
                <w:rFonts w:ascii="宋体" w:hAnsi="宋体" w:hint="eastAsia"/>
                <w:sz w:val="24"/>
                <w:szCs w:val="24"/>
              </w:rPr>
              <w:lastRenderedPageBreak/>
              <w:t>究生教材中。</w:t>
            </w:r>
            <w:r>
              <w:rPr>
                <w:rFonts w:ascii="宋体" w:hAnsi="宋体"/>
                <w:sz w:val="24"/>
                <w:szCs w:val="24"/>
              </w:rPr>
              <w:t>eBrace</w:t>
            </w:r>
            <w:r>
              <w:rPr>
                <w:rFonts w:ascii="宋体" w:hAnsi="宋体" w:hint="eastAsia"/>
                <w:sz w:val="24"/>
                <w:szCs w:val="24"/>
              </w:rPr>
              <w:t>临床与技术相关研究也越来越多发表在国内外权威杂志上。可以说，自</w:t>
            </w:r>
            <w:r>
              <w:rPr>
                <w:rFonts w:ascii="宋体" w:hAnsi="宋体"/>
                <w:sz w:val="24"/>
                <w:szCs w:val="24"/>
              </w:rPr>
              <w:t>eBrace</w:t>
            </w:r>
            <w:r>
              <w:rPr>
                <w:rFonts w:ascii="宋体" w:hAnsi="宋体" w:hint="eastAsia"/>
                <w:sz w:val="24"/>
                <w:szCs w:val="24"/>
              </w:rPr>
              <w:t>出现以来，促使国内舌侧矫治的医教研等方面水平有了全面提升。</w:t>
            </w:r>
          </w:p>
          <w:p w:rsidR="004C7165" w:rsidRDefault="0039699D">
            <w:pPr>
              <w:pStyle w:val="a5"/>
              <w:spacing w:before="0" w:beforeAutospacing="0" w:after="0" w:afterAutospacing="0" w:line="360" w:lineRule="auto"/>
              <w:ind w:firstLineChars="150" w:firstLine="360"/>
              <w:rPr>
                <w:sz w:val="24"/>
                <w:szCs w:val="24"/>
              </w:rPr>
            </w:pPr>
            <w:r>
              <w:rPr>
                <w:rFonts w:hint="eastAsia"/>
                <w:sz w:val="24"/>
                <w:szCs w:val="24"/>
              </w:rPr>
              <w:t>（</w:t>
            </w:r>
            <w:r>
              <w:rPr>
                <w:sz w:val="24"/>
                <w:szCs w:val="24"/>
              </w:rPr>
              <w:t>2</w:t>
            </w:r>
            <w:r>
              <w:rPr>
                <w:rFonts w:hint="eastAsia"/>
                <w:sz w:val="24"/>
                <w:szCs w:val="24"/>
              </w:rPr>
              <w:t>）本项目与国外同类型产品比较：国产个性化舌侧矫治器与国外个性化舌侧托槽系统</w:t>
            </w:r>
            <w:r>
              <w:rPr>
                <w:sz w:val="24"/>
                <w:szCs w:val="24"/>
              </w:rPr>
              <w:t>Incognito</w:t>
            </w:r>
            <w:r>
              <w:rPr>
                <w:rFonts w:hint="eastAsia"/>
                <w:sz w:val="24"/>
                <w:szCs w:val="24"/>
              </w:rPr>
              <w:t>相比，国外产品已没有优势，个别指标甚至被超越。另外，国产品牌服务理念有明显优势，能够最大程度满足医生个性化定制要求，制作时间和加工成本显著降低，咨询服务体系更符合国情。见表</w:t>
            </w:r>
            <w:r>
              <w:rPr>
                <w:sz w:val="24"/>
                <w:szCs w:val="24"/>
              </w:rPr>
              <w:t>1</w:t>
            </w:r>
            <w:r>
              <w:rPr>
                <w:rFonts w:hint="eastAsia"/>
                <w:sz w:val="24"/>
                <w:szCs w:val="24"/>
              </w:rPr>
              <w:t>。</w:t>
            </w:r>
          </w:p>
          <w:p w:rsidR="004C7165" w:rsidRDefault="0039699D">
            <w:pPr>
              <w:pStyle w:val="a5"/>
              <w:spacing w:before="0" w:beforeAutospacing="0" w:after="0" w:afterAutospacing="0" w:line="360" w:lineRule="auto"/>
              <w:rPr>
                <w:sz w:val="24"/>
                <w:szCs w:val="24"/>
              </w:rPr>
            </w:pPr>
            <w:r>
              <w:rPr>
                <w:rFonts w:hint="eastAsia"/>
                <w:sz w:val="24"/>
                <w:szCs w:val="24"/>
              </w:rPr>
              <w:t>表</w:t>
            </w:r>
            <w:r>
              <w:rPr>
                <w:sz w:val="24"/>
                <w:szCs w:val="24"/>
              </w:rPr>
              <w:t xml:space="preserve">1       </w:t>
            </w:r>
            <w:r>
              <w:rPr>
                <w:rFonts w:hint="eastAsia"/>
                <w:sz w:val="24"/>
                <w:szCs w:val="24"/>
              </w:rPr>
              <w:t>国产个体化的舌侧托槽与国外现有舌侧托槽比较表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2262"/>
              <w:gridCol w:w="2080"/>
              <w:gridCol w:w="2097"/>
            </w:tblGrid>
            <w:tr w:rsidR="004C7165">
              <w:tc>
                <w:tcPr>
                  <w:tcW w:w="1857" w:type="dxa"/>
                  <w:tcBorders>
                    <w:top w:val="single" w:sz="4" w:space="0" w:color="auto"/>
                    <w:left w:val="single" w:sz="4" w:space="0" w:color="auto"/>
                    <w:bottom w:val="single" w:sz="4" w:space="0" w:color="auto"/>
                    <w:right w:val="single" w:sz="4" w:space="0" w:color="auto"/>
                  </w:tcBorders>
                </w:tcPr>
                <w:p w:rsidR="004C7165" w:rsidRDefault="004C7165">
                  <w:pPr>
                    <w:pStyle w:val="a5"/>
                    <w:spacing w:line="360" w:lineRule="auto"/>
                    <w:rPr>
                      <w:sz w:val="24"/>
                      <w:szCs w:val="24"/>
                    </w:rPr>
                  </w:pP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国产个体化舌侧托槽（本项目）</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sz w:val="24"/>
                      <w:szCs w:val="24"/>
                    </w:rPr>
                    <w:t>3M</w:t>
                  </w:r>
                  <w:r>
                    <w:rPr>
                      <w:rFonts w:hint="eastAsia"/>
                      <w:sz w:val="24"/>
                      <w:szCs w:val="24"/>
                    </w:rPr>
                    <w:t>个体化舌侧托槽</w:t>
                  </w:r>
                  <w:r>
                    <w:rPr>
                      <w:sz w:val="24"/>
                      <w:szCs w:val="24"/>
                    </w:rPr>
                    <w:t>Incognito</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传统标准托槽</w:t>
                  </w:r>
                  <w:r>
                    <w:rPr>
                      <w:sz w:val="24"/>
                      <w:szCs w:val="24"/>
                    </w:rPr>
                    <w:t>Kurz-Ormco</w:t>
                  </w:r>
                  <w:r>
                    <w:rPr>
                      <w:rFonts w:hint="eastAsia"/>
                      <w:sz w:val="24"/>
                      <w:szCs w:val="24"/>
                    </w:rPr>
                    <w:t>、</w:t>
                  </w:r>
                  <w:r>
                    <w:rPr>
                      <w:sz w:val="24"/>
                      <w:szCs w:val="24"/>
                    </w:rPr>
                    <w:t>STb</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个体化</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是</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是</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否</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sz w:val="24"/>
                      <w:szCs w:val="24"/>
                    </w:rPr>
                    <w:t>CAD/CAM</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是</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是</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否</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蜡模制作方法</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精度更高</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精度高</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无需蜡型</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金属托槽制造方法</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制作蜡模后熔模铸造</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制作蜡模后熔模铸造</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批量铸造生产</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托槽槽沟精度</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精确</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精确</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精确</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托槽底面与牙齿舌面贴合度</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精确</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精确</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不精确</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制造时间</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周期短</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周期长</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标准化批量</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加工成本</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中等水平</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费用高</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中等水平</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技术先进性</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高</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高</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低</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咨询服务</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好</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一般</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无</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托槽生产效率</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中等</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底</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高</w:t>
                  </w:r>
                </w:p>
              </w:tc>
            </w:tr>
            <w:tr w:rsidR="004C7165">
              <w:tc>
                <w:tcPr>
                  <w:tcW w:w="185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变形度</w:t>
                  </w:r>
                </w:p>
              </w:tc>
              <w:tc>
                <w:tcPr>
                  <w:tcW w:w="2262"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不易</w:t>
                  </w:r>
                </w:p>
              </w:tc>
              <w:tc>
                <w:tcPr>
                  <w:tcW w:w="2080"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易</w:t>
                  </w:r>
                </w:p>
              </w:tc>
              <w:tc>
                <w:tcPr>
                  <w:tcW w:w="2097" w:type="dxa"/>
                  <w:tcBorders>
                    <w:top w:val="single" w:sz="4" w:space="0" w:color="auto"/>
                    <w:left w:val="single" w:sz="4" w:space="0" w:color="auto"/>
                    <w:bottom w:val="single" w:sz="4" w:space="0" w:color="auto"/>
                    <w:right w:val="single" w:sz="4" w:space="0" w:color="auto"/>
                  </w:tcBorders>
                </w:tcPr>
                <w:p w:rsidR="004C7165" w:rsidRDefault="0039699D">
                  <w:pPr>
                    <w:pStyle w:val="a5"/>
                    <w:spacing w:line="360" w:lineRule="auto"/>
                    <w:rPr>
                      <w:sz w:val="24"/>
                      <w:szCs w:val="24"/>
                    </w:rPr>
                  </w:pPr>
                  <w:r>
                    <w:rPr>
                      <w:rFonts w:hint="eastAsia"/>
                      <w:sz w:val="24"/>
                      <w:szCs w:val="24"/>
                    </w:rPr>
                    <w:t>不易</w:t>
                  </w:r>
                </w:p>
              </w:tc>
            </w:tr>
          </w:tbl>
          <w:p w:rsidR="004C7165" w:rsidRDefault="004C7165">
            <w:pPr>
              <w:spacing w:line="360" w:lineRule="auto"/>
              <w:jc w:val="left"/>
              <w:rPr>
                <w:rFonts w:ascii="宋体"/>
                <w:sz w:val="24"/>
                <w:szCs w:val="24"/>
              </w:rPr>
            </w:pP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lastRenderedPageBreak/>
              <w:t>7.</w:t>
            </w:r>
            <w:r>
              <w:rPr>
                <w:rFonts w:ascii="仿宋" w:eastAsia="仿宋" w:hAnsi="仿宋" w:hint="eastAsia"/>
                <w:spacing w:val="2"/>
                <w:sz w:val="24"/>
                <w:szCs w:val="24"/>
              </w:rPr>
              <w:t>推广应用情</w:t>
            </w:r>
            <w:r>
              <w:rPr>
                <w:rFonts w:ascii="仿宋" w:eastAsia="仿宋" w:hAnsi="仿宋" w:hint="eastAsia"/>
                <w:spacing w:val="2"/>
                <w:sz w:val="24"/>
                <w:szCs w:val="24"/>
              </w:rPr>
              <w:lastRenderedPageBreak/>
              <w:t>况</w:t>
            </w:r>
          </w:p>
        </w:tc>
        <w:tc>
          <w:tcPr>
            <w:tcW w:w="8797" w:type="dxa"/>
          </w:tcPr>
          <w:p w:rsidR="004C7165" w:rsidRDefault="0039699D">
            <w:pPr>
              <w:spacing w:line="360" w:lineRule="auto"/>
              <w:ind w:firstLineChars="200" w:firstLine="480"/>
              <w:jc w:val="left"/>
              <w:outlineLvl w:val="1"/>
              <w:rPr>
                <w:rFonts w:ascii="宋体"/>
                <w:bCs/>
                <w:sz w:val="24"/>
                <w:szCs w:val="24"/>
              </w:rPr>
            </w:pPr>
            <w:r>
              <w:rPr>
                <w:rFonts w:ascii="宋体" w:hAnsi="宋体"/>
                <w:bCs/>
                <w:sz w:val="24"/>
                <w:szCs w:val="24"/>
              </w:rPr>
              <w:lastRenderedPageBreak/>
              <w:t>eBrace</w:t>
            </w:r>
            <w:r>
              <w:rPr>
                <w:rFonts w:ascii="宋体" w:hAnsi="宋体" w:hint="eastAsia"/>
                <w:bCs/>
                <w:sz w:val="24"/>
                <w:szCs w:val="24"/>
              </w:rPr>
              <w:t>自</w:t>
            </w:r>
            <w:r>
              <w:rPr>
                <w:rFonts w:ascii="宋体" w:hAnsi="宋体"/>
                <w:bCs/>
                <w:sz w:val="24"/>
                <w:szCs w:val="24"/>
              </w:rPr>
              <w:t>2011</w:t>
            </w:r>
            <w:r>
              <w:rPr>
                <w:rFonts w:ascii="宋体" w:hAnsi="宋体" w:hint="eastAsia"/>
                <w:bCs/>
                <w:sz w:val="24"/>
                <w:szCs w:val="24"/>
              </w:rPr>
              <w:t>年面世以来，举办过数十场与产品相关的推介会，赞助过数十场国家、省、市等级别的各地正畸年会，多次参加美国及欧洲正畸年会，支持过数十场的正畸继续教育学习班，加上瑞通公司引入了多名正畸名流作为顾问专家。</w:t>
            </w:r>
            <w:r>
              <w:rPr>
                <w:rFonts w:ascii="宋体" w:hAnsi="宋体"/>
                <w:bCs/>
                <w:sz w:val="24"/>
                <w:szCs w:val="24"/>
              </w:rPr>
              <w:t>eBrace</w:t>
            </w:r>
            <w:r>
              <w:rPr>
                <w:rFonts w:ascii="宋体" w:hAnsi="宋体" w:hint="eastAsia"/>
                <w:bCs/>
                <w:sz w:val="24"/>
                <w:szCs w:val="24"/>
              </w:rPr>
              <w:t>已经成为国内首屈一指个性化舌侧矫治器民族品牌，国内正畸界几乎无人不晓。</w:t>
            </w:r>
            <w:r>
              <w:rPr>
                <w:rFonts w:ascii="宋体" w:hAnsi="宋体"/>
                <w:sz w:val="24"/>
                <w:szCs w:val="24"/>
              </w:rPr>
              <w:t>eBrace</w:t>
            </w:r>
            <w:r>
              <w:rPr>
                <w:rFonts w:ascii="宋体" w:hAnsi="宋体" w:hint="eastAsia"/>
                <w:sz w:val="24"/>
                <w:szCs w:val="24"/>
              </w:rPr>
              <w:t>产品被批准进入国内顶尖医学院校包括北大口腔医学院、华西口腔医学院及上海交大口腔医学院等数十家口腔院校及</w:t>
            </w:r>
            <w:r>
              <w:rPr>
                <w:rFonts w:ascii="宋体" w:hAnsi="宋体"/>
                <w:sz w:val="24"/>
                <w:szCs w:val="24"/>
              </w:rPr>
              <w:t>200</w:t>
            </w:r>
            <w:r>
              <w:rPr>
                <w:rFonts w:ascii="宋体" w:hAnsi="宋体" w:hint="eastAsia"/>
                <w:sz w:val="24"/>
                <w:szCs w:val="24"/>
              </w:rPr>
              <w:t>多家医疗机构进行临床应用，临</w:t>
            </w:r>
            <w:r>
              <w:rPr>
                <w:rFonts w:ascii="宋体" w:hAnsi="宋体" w:hint="eastAsia"/>
                <w:sz w:val="24"/>
                <w:szCs w:val="24"/>
              </w:rPr>
              <w:lastRenderedPageBreak/>
              <w:t>床效果反映良好。产品还销往美、俄、日、英等</w:t>
            </w:r>
            <w:r>
              <w:rPr>
                <w:rFonts w:ascii="宋体" w:hAnsi="宋体"/>
                <w:sz w:val="24"/>
                <w:szCs w:val="24"/>
              </w:rPr>
              <w:t>40</w:t>
            </w:r>
            <w:r>
              <w:rPr>
                <w:rFonts w:ascii="宋体" w:hAnsi="宋体" w:hint="eastAsia"/>
                <w:sz w:val="24"/>
                <w:szCs w:val="24"/>
              </w:rPr>
              <w:t>多个国家和地区。</w:t>
            </w:r>
          </w:p>
          <w:p w:rsidR="004C7165" w:rsidRDefault="004C7165">
            <w:pPr>
              <w:spacing w:line="360" w:lineRule="auto"/>
              <w:ind w:firstLineChars="200" w:firstLine="480"/>
              <w:jc w:val="left"/>
              <w:rPr>
                <w:rFonts w:ascii="宋体"/>
                <w:sz w:val="24"/>
                <w:szCs w:val="24"/>
              </w:rPr>
            </w:pP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lastRenderedPageBreak/>
              <w:t>8.</w:t>
            </w:r>
            <w:r>
              <w:rPr>
                <w:rFonts w:ascii="仿宋" w:eastAsia="仿宋" w:hAnsi="仿宋" w:hint="eastAsia"/>
                <w:spacing w:val="2"/>
                <w:sz w:val="24"/>
                <w:szCs w:val="24"/>
              </w:rPr>
              <w:t>知识产权证明目录</w:t>
            </w:r>
          </w:p>
        </w:tc>
        <w:tc>
          <w:tcPr>
            <w:tcW w:w="8797" w:type="dxa"/>
          </w:tcPr>
          <w:tbl>
            <w:tblPr>
              <w:tblW w:w="9240" w:type="dxa"/>
              <w:jc w:val="center"/>
              <w:tblLayout w:type="fixed"/>
              <w:tblLook w:val="04A0"/>
            </w:tblPr>
            <w:tblGrid>
              <w:gridCol w:w="960"/>
              <w:gridCol w:w="2960"/>
              <w:gridCol w:w="1220"/>
              <w:gridCol w:w="1300"/>
              <w:gridCol w:w="1400"/>
              <w:gridCol w:w="1400"/>
            </w:tblGrid>
            <w:tr w:rsidR="004C7165">
              <w:trPr>
                <w:trHeight w:val="851"/>
                <w:jc w:val="center"/>
              </w:trPr>
              <w:tc>
                <w:tcPr>
                  <w:tcW w:w="960" w:type="dxa"/>
                  <w:tcBorders>
                    <w:top w:val="single" w:sz="4" w:space="0" w:color="auto"/>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40"/>
                    <w:jc w:val="left"/>
                    <w:rPr>
                      <w:rFonts w:ascii="宋体" w:cs="宋体"/>
                      <w:kern w:val="0"/>
                      <w:sz w:val="24"/>
                      <w:szCs w:val="24"/>
                    </w:rPr>
                  </w:pPr>
                  <w:r>
                    <w:rPr>
                      <w:rFonts w:ascii="宋体" w:hAnsi="宋体" w:cs="宋体" w:hint="eastAsia"/>
                      <w:kern w:val="0"/>
                      <w:sz w:val="24"/>
                      <w:szCs w:val="24"/>
                    </w:rPr>
                    <w:t>序号</w:t>
                  </w:r>
                </w:p>
              </w:tc>
              <w:tc>
                <w:tcPr>
                  <w:tcW w:w="2960" w:type="dxa"/>
                  <w:tcBorders>
                    <w:top w:val="single" w:sz="4" w:space="0" w:color="auto"/>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知识产权具体名称</w:t>
                  </w:r>
                </w:p>
              </w:tc>
              <w:tc>
                <w:tcPr>
                  <w:tcW w:w="1220" w:type="dxa"/>
                  <w:tcBorders>
                    <w:top w:val="single" w:sz="4" w:space="0" w:color="auto"/>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类别</w:t>
                  </w:r>
                </w:p>
              </w:tc>
              <w:tc>
                <w:tcPr>
                  <w:tcW w:w="1300" w:type="dxa"/>
                  <w:tcBorders>
                    <w:top w:val="single" w:sz="4" w:space="0" w:color="auto"/>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发明人</w:t>
                  </w:r>
                </w:p>
              </w:tc>
              <w:tc>
                <w:tcPr>
                  <w:tcW w:w="1400" w:type="dxa"/>
                  <w:tcBorders>
                    <w:top w:val="single" w:sz="4" w:space="0" w:color="auto"/>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授权号</w:t>
                  </w:r>
                </w:p>
              </w:tc>
              <w:tc>
                <w:tcPr>
                  <w:tcW w:w="1400" w:type="dxa"/>
                  <w:tcBorders>
                    <w:top w:val="single" w:sz="4" w:space="0" w:color="auto"/>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授权时间</w:t>
                  </w:r>
                </w:p>
              </w:tc>
            </w:tr>
            <w:tr w:rsidR="004C7165">
              <w:trPr>
                <w:trHeight w:val="880"/>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1</w:t>
                  </w:r>
                </w:p>
              </w:tc>
              <w:tc>
                <w:tcPr>
                  <w:tcW w:w="296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个性化舌侧矫治器的制作方法</w:t>
                  </w:r>
                </w:p>
              </w:tc>
              <w:tc>
                <w:tcPr>
                  <w:tcW w:w="122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发明专利</w:t>
                  </w:r>
                </w:p>
              </w:tc>
              <w:tc>
                <w:tcPr>
                  <w:tcW w:w="13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hint="eastAsia"/>
                      <w:kern w:val="0"/>
                      <w:sz w:val="24"/>
                      <w:szCs w:val="24"/>
                    </w:rPr>
                    <w:t>孔卫东</w:t>
                  </w:r>
                </w:p>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杨永强</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ZL.2009 1 0192280.X</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2012.11</w:t>
                  </w:r>
                </w:p>
              </w:tc>
            </w:tr>
            <w:tr w:rsidR="004C7165">
              <w:trPr>
                <w:trHeight w:val="851"/>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2</w:t>
                  </w:r>
                </w:p>
              </w:tc>
              <w:tc>
                <w:tcPr>
                  <w:tcW w:w="296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激光</w:t>
                  </w:r>
                  <w:r>
                    <w:rPr>
                      <w:rFonts w:ascii="宋体" w:hAnsi="宋体" w:cs="宋体"/>
                      <w:kern w:val="0"/>
                      <w:sz w:val="24"/>
                      <w:szCs w:val="24"/>
                    </w:rPr>
                    <w:t>3D</w:t>
                  </w:r>
                  <w:r>
                    <w:rPr>
                      <w:rFonts w:ascii="宋体" w:hAnsi="宋体" w:cs="宋体" w:hint="eastAsia"/>
                      <w:kern w:val="0"/>
                      <w:sz w:val="24"/>
                      <w:szCs w:val="24"/>
                    </w:rPr>
                    <w:t>打印控制软件</w:t>
                  </w:r>
                </w:p>
              </w:tc>
              <w:tc>
                <w:tcPr>
                  <w:tcW w:w="122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软件著作权登记证书</w:t>
                  </w:r>
                </w:p>
              </w:tc>
              <w:tc>
                <w:tcPr>
                  <w:tcW w:w="13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广州瑞通生物科技有限公司</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2017SR727747</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2017.12</w:t>
                  </w:r>
                </w:p>
              </w:tc>
            </w:tr>
            <w:tr w:rsidR="004C7165">
              <w:trPr>
                <w:trHeight w:val="851"/>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3</w:t>
                  </w:r>
                </w:p>
              </w:tc>
              <w:tc>
                <w:tcPr>
                  <w:tcW w:w="296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kern w:val="0"/>
                      <w:sz w:val="24"/>
                      <w:szCs w:val="24"/>
                    </w:rPr>
                    <w:t>e-Set</w:t>
                  </w:r>
                  <w:r>
                    <w:rPr>
                      <w:rFonts w:ascii="宋体" w:hAnsi="宋体" w:cs="宋体" w:hint="eastAsia"/>
                      <w:kern w:val="0"/>
                      <w:sz w:val="24"/>
                      <w:szCs w:val="24"/>
                    </w:rPr>
                    <w:t>观察软件</w:t>
                  </w:r>
                </w:p>
              </w:tc>
              <w:tc>
                <w:tcPr>
                  <w:tcW w:w="122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软件著作权登记证书</w:t>
                  </w:r>
                </w:p>
              </w:tc>
              <w:tc>
                <w:tcPr>
                  <w:tcW w:w="13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广州瑞通生物科技有限公司</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2016SR062183</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2016.3</w:t>
                  </w:r>
                </w:p>
              </w:tc>
            </w:tr>
            <w:tr w:rsidR="004C7165">
              <w:trPr>
                <w:trHeight w:val="851"/>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4</w:t>
                  </w:r>
                </w:p>
              </w:tc>
              <w:tc>
                <w:tcPr>
                  <w:tcW w:w="296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kern w:val="0"/>
                      <w:sz w:val="24"/>
                      <w:szCs w:val="24"/>
                    </w:rPr>
                    <w:t>e-Set</w:t>
                  </w:r>
                  <w:r>
                    <w:rPr>
                      <w:rFonts w:ascii="宋体" w:hAnsi="宋体" w:cs="宋体" w:hint="eastAsia"/>
                      <w:kern w:val="0"/>
                      <w:sz w:val="24"/>
                      <w:szCs w:val="24"/>
                    </w:rPr>
                    <w:t>排牙软件</w:t>
                  </w:r>
                </w:p>
              </w:tc>
              <w:tc>
                <w:tcPr>
                  <w:tcW w:w="122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软件著作权登记证书</w:t>
                  </w:r>
                </w:p>
              </w:tc>
              <w:tc>
                <w:tcPr>
                  <w:tcW w:w="13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广州瑞通生物科技有限公司</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2016SR62202</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2016.3</w:t>
                  </w:r>
                </w:p>
              </w:tc>
            </w:tr>
            <w:tr w:rsidR="004C7165">
              <w:trPr>
                <w:trHeight w:val="851"/>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5</w:t>
                  </w:r>
                </w:p>
              </w:tc>
              <w:tc>
                <w:tcPr>
                  <w:tcW w:w="296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一种通用舌侧托槽系统</w:t>
                  </w:r>
                </w:p>
              </w:tc>
              <w:tc>
                <w:tcPr>
                  <w:tcW w:w="122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实用新型专利</w:t>
                  </w:r>
                </w:p>
              </w:tc>
              <w:tc>
                <w:tcPr>
                  <w:tcW w:w="13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孔卫东</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ZL 2010 2 0527852 6</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2011.4</w:t>
                  </w:r>
                </w:p>
              </w:tc>
            </w:tr>
            <w:tr w:rsidR="004C7165">
              <w:trPr>
                <w:trHeight w:val="851"/>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6</w:t>
                  </w:r>
                </w:p>
              </w:tc>
              <w:tc>
                <w:tcPr>
                  <w:tcW w:w="296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一种唇侧舌侧联合矫治系统</w:t>
                  </w:r>
                </w:p>
              </w:tc>
              <w:tc>
                <w:tcPr>
                  <w:tcW w:w="122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实用新型专利</w:t>
                  </w:r>
                </w:p>
              </w:tc>
              <w:tc>
                <w:tcPr>
                  <w:tcW w:w="13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cs="宋体"/>
                      <w:kern w:val="0"/>
                      <w:sz w:val="24"/>
                      <w:szCs w:val="24"/>
                    </w:rPr>
                  </w:pPr>
                  <w:r>
                    <w:rPr>
                      <w:rFonts w:ascii="宋体" w:hAnsi="宋体" w:cs="宋体" w:hint="eastAsia"/>
                      <w:kern w:val="0"/>
                      <w:sz w:val="24"/>
                      <w:szCs w:val="24"/>
                    </w:rPr>
                    <w:t>孔卫东</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ZL 2015 2 0135858 9</w:t>
                  </w:r>
                </w:p>
              </w:tc>
              <w:tc>
                <w:tcPr>
                  <w:tcW w:w="1400" w:type="dxa"/>
                  <w:tcBorders>
                    <w:top w:val="nil"/>
                    <w:left w:val="nil"/>
                    <w:bottom w:val="single" w:sz="4" w:space="0" w:color="auto"/>
                    <w:right w:val="single" w:sz="4" w:space="0" w:color="auto"/>
                  </w:tcBorders>
                  <w:vAlign w:val="center"/>
                </w:tcPr>
                <w:p w:rsidR="004C7165" w:rsidRDefault="0039699D">
                  <w:pPr>
                    <w:widowControl/>
                    <w:spacing w:line="360" w:lineRule="auto"/>
                    <w:jc w:val="left"/>
                    <w:rPr>
                      <w:rFonts w:ascii="宋体" w:hAnsi="宋体" w:cs="宋体"/>
                      <w:kern w:val="0"/>
                      <w:sz w:val="24"/>
                      <w:szCs w:val="24"/>
                    </w:rPr>
                  </w:pPr>
                  <w:r>
                    <w:rPr>
                      <w:rFonts w:ascii="宋体" w:hAnsi="宋体" w:cs="宋体"/>
                      <w:kern w:val="0"/>
                      <w:sz w:val="24"/>
                      <w:szCs w:val="24"/>
                    </w:rPr>
                    <w:t>2015.8</w:t>
                  </w:r>
                </w:p>
              </w:tc>
            </w:tr>
            <w:tr w:rsidR="004C7165">
              <w:trPr>
                <w:trHeight w:val="851"/>
                <w:jc w:val="center"/>
              </w:trPr>
              <w:tc>
                <w:tcPr>
                  <w:tcW w:w="960" w:type="dxa"/>
                  <w:tcBorders>
                    <w:top w:val="nil"/>
                    <w:left w:val="single" w:sz="4" w:space="0" w:color="auto"/>
                    <w:bottom w:val="single" w:sz="4" w:space="0" w:color="auto"/>
                    <w:right w:val="single" w:sz="4" w:space="0" w:color="auto"/>
                  </w:tcBorders>
                  <w:vAlign w:val="center"/>
                </w:tcPr>
                <w:p w:rsidR="004C7165" w:rsidRDefault="0039699D">
                  <w:pPr>
                    <w:widowControl/>
                    <w:spacing w:line="360" w:lineRule="auto"/>
                    <w:ind w:firstLineChars="100" w:firstLine="210"/>
                    <w:jc w:val="left"/>
                    <w:rPr>
                      <w:rFonts w:ascii="宋体" w:hAnsi="宋体" w:cs="宋体"/>
                      <w:kern w:val="0"/>
                      <w:szCs w:val="21"/>
                    </w:rPr>
                  </w:pPr>
                  <w:r>
                    <w:rPr>
                      <w:rFonts w:ascii="宋体" w:hAnsi="宋体" w:cs="宋体"/>
                      <w:kern w:val="0"/>
                      <w:szCs w:val="21"/>
                    </w:rPr>
                    <w:t>7</w:t>
                  </w:r>
                </w:p>
              </w:tc>
              <w:tc>
                <w:tcPr>
                  <w:tcW w:w="2960" w:type="dxa"/>
                  <w:tcBorders>
                    <w:top w:val="nil"/>
                    <w:left w:val="nil"/>
                    <w:bottom w:val="single" w:sz="4" w:space="0" w:color="auto"/>
                    <w:right w:val="single" w:sz="4" w:space="0" w:color="auto"/>
                  </w:tcBorders>
                  <w:vAlign w:val="center"/>
                </w:tcPr>
                <w:p w:rsidR="004C7165" w:rsidRDefault="004C7165">
                  <w:pPr>
                    <w:widowControl/>
                    <w:spacing w:line="360" w:lineRule="auto"/>
                    <w:jc w:val="left"/>
                    <w:rPr>
                      <w:rFonts w:ascii="宋体" w:cs="宋体"/>
                      <w:kern w:val="0"/>
                      <w:sz w:val="24"/>
                      <w:szCs w:val="24"/>
                    </w:rPr>
                  </w:pPr>
                </w:p>
              </w:tc>
              <w:tc>
                <w:tcPr>
                  <w:tcW w:w="1220" w:type="dxa"/>
                  <w:tcBorders>
                    <w:top w:val="nil"/>
                    <w:left w:val="nil"/>
                    <w:bottom w:val="single" w:sz="4" w:space="0" w:color="auto"/>
                    <w:right w:val="single" w:sz="4" w:space="0" w:color="auto"/>
                  </w:tcBorders>
                  <w:vAlign w:val="center"/>
                </w:tcPr>
                <w:p w:rsidR="004C7165" w:rsidRDefault="004C7165">
                  <w:pPr>
                    <w:widowControl/>
                    <w:spacing w:line="360" w:lineRule="auto"/>
                    <w:jc w:val="left"/>
                    <w:rPr>
                      <w:rFonts w:ascii="宋体" w:cs="宋体"/>
                      <w:kern w:val="0"/>
                      <w:sz w:val="24"/>
                      <w:szCs w:val="24"/>
                    </w:rPr>
                  </w:pPr>
                </w:p>
              </w:tc>
              <w:tc>
                <w:tcPr>
                  <w:tcW w:w="1300" w:type="dxa"/>
                  <w:tcBorders>
                    <w:top w:val="nil"/>
                    <w:left w:val="nil"/>
                    <w:bottom w:val="single" w:sz="4" w:space="0" w:color="auto"/>
                    <w:right w:val="single" w:sz="4" w:space="0" w:color="auto"/>
                  </w:tcBorders>
                  <w:vAlign w:val="center"/>
                </w:tcPr>
                <w:p w:rsidR="004C7165" w:rsidRDefault="004C7165">
                  <w:pPr>
                    <w:widowControl/>
                    <w:spacing w:line="360" w:lineRule="auto"/>
                    <w:jc w:val="left"/>
                    <w:rPr>
                      <w:rFonts w:ascii="宋体" w:cs="宋体"/>
                      <w:kern w:val="0"/>
                      <w:sz w:val="24"/>
                      <w:szCs w:val="24"/>
                    </w:rPr>
                  </w:pPr>
                </w:p>
              </w:tc>
              <w:tc>
                <w:tcPr>
                  <w:tcW w:w="1400" w:type="dxa"/>
                  <w:tcBorders>
                    <w:top w:val="nil"/>
                    <w:left w:val="nil"/>
                    <w:bottom w:val="single" w:sz="4" w:space="0" w:color="auto"/>
                    <w:right w:val="single" w:sz="4" w:space="0" w:color="auto"/>
                  </w:tcBorders>
                  <w:vAlign w:val="center"/>
                </w:tcPr>
                <w:p w:rsidR="004C7165" w:rsidRDefault="004C7165">
                  <w:pPr>
                    <w:widowControl/>
                    <w:spacing w:line="360" w:lineRule="auto"/>
                    <w:jc w:val="left"/>
                    <w:rPr>
                      <w:rFonts w:ascii="宋体" w:cs="宋体"/>
                      <w:kern w:val="0"/>
                      <w:sz w:val="24"/>
                      <w:szCs w:val="24"/>
                    </w:rPr>
                  </w:pPr>
                </w:p>
              </w:tc>
              <w:tc>
                <w:tcPr>
                  <w:tcW w:w="1400" w:type="dxa"/>
                  <w:tcBorders>
                    <w:top w:val="nil"/>
                    <w:left w:val="nil"/>
                    <w:bottom w:val="single" w:sz="4" w:space="0" w:color="auto"/>
                    <w:right w:val="single" w:sz="4" w:space="0" w:color="auto"/>
                  </w:tcBorders>
                  <w:vAlign w:val="center"/>
                </w:tcPr>
                <w:p w:rsidR="004C7165" w:rsidRDefault="004C7165">
                  <w:pPr>
                    <w:widowControl/>
                    <w:spacing w:line="360" w:lineRule="auto"/>
                    <w:jc w:val="left"/>
                    <w:rPr>
                      <w:rFonts w:ascii="宋体" w:cs="宋体"/>
                      <w:kern w:val="0"/>
                      <w:sz w:val="24"/>
                      <w:szCs w:val="24"/>
                    </w:rPr>
                  </w:pPr>
                </w:p>
              </w:tc>
            </w:tr>
          </w:tbl>
          <w:p w:rsidR="004C7165" w:rsidRDefault="004C7165">
            <w:pPr>
              <w:spacing w:line="360" w:lineRule="auto"/>
              <w:jc w:val="left"/>
              <w:rPr>
                <w:rFonts w:ascii="宋体"/>
                <w:sz w:val="24"/>
                <w:szCs w:val="24"/>
              </w:rPr>
            </w:pPr>
          </w:p>
        </w:tc>
      </w:tr>
      <w:tr w:rsidR="004C7165">
        <w:tc>
          <w:tcPr>
            <w:tcW w:w="560" w:type="dxa"/>
          </w:tcPr>
          <w:p w:rsidR="004C7165" w:rsidRDefault="0039699D">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9.</w:t>
            </w:r>
            <w:r>
              <w:rPr>
                <w:rFonts w:ascii="仿宋" w:eastAsia="仿宋" w:hAnsi="仿宋" w:hint="eastAsia"/>
                <w:spacing w:val="2"/>
                <w:sz w:val="24"/>
                <w:szCs w:val="24"/>
              </w:rPr>
              <w:t>代表性论文目录</w:t>
            </w:r>
          </w:p>
        </w:tc>
        <w:tc>
          <w:tcPr>
            <w:tcW w:w="8797" w:type="dxa"/>
          </w:tcPr>
          <w:p w:rsidR="004C7165" w:rsidRDefault="0039699D">
            <w:pPr>
              <w:spacing w:line="360" w:lineRule="auto"/>
              <w:jc w:val="left"/>
              <w:rPr>
                <w:rFonts w:ascii="宋体" w:hAnsi="宋体"/>
                <w:sz w:val="24"/>
                <w:szCs w:val="24"/>
                <w:shd w:val="clear" w:color="auto" w:fill="FFFFFF"/>
              </w:rPr>
            </w:pPr>
            <w:r>
              <w:rPr>
                <w:rFonts w:ascii="宋体" w:hAnsi="宋体"/>
                <w:kern w:val="0"/>
                <w:sz w:val="24"/>
                <w:szCs w:val="24"/>
              </w:rPr>
              <w:t xml:space="preserve">1. A monomer purified from Paris polyphylla (PP-22) triggers S and G2/M phase arrest and apoptosis in human tongue squamous cell carcinoma SCC-15 by activating the p38/cdc25/cdc2 and caspase 8/caspase 3 pathways[J] Tumor Biol, </w:t>
            </w:r>
            <w:r>
              <w:rPr>
                <w:rFonts w:ascii="宋体" w:hAnsi="宋体"/>
                <w:sz w:val="24"/>
                <w:szCs w:val="24"/>
                <w:shd w:val="clear" w:color="auto" w:fill="FFFFFF"/>
              </w:rPr>
              <w:t>2016 ;37(11):14863-14872.</w:t>
            </w:r>
          </w:p>
          <w:p w:rsidR="004C7165" w:rsidRDefault="0039699D">
            <w:pPr>
              <w:spacing w:line="360" w:lineRule="auto"/>
              <w:jc w:val="left"/>
              <w:rPr>
                <w:rFonts w:ascii="宋体" w:hAnsi="宋体"/>
                <w:sz w:val="24"/>
                <w:szCs w:val="24"/>
                <w:shd w:val="clear" w:color="auto" w:fill="FFFFFF"/>
              </w:rPr>
            </w:pPr>
            <w:r>
              <w:rPr>
                <w:rFonts w:ascii="宋体" w:hAnsi="宋体"/>
                <w:kern w:val="0"/>
                <w:sz w:val="24"/>
                <w:szCs w:val="24"/>
              </w:rPr>
              <w:t>2. Iron overload induces apoptosis of murine preosteoblastcells via ROS and inhibition of AKT pathway[J].</w:t>
            </w:r>
            <w:hyperlink r:id="rId7" w:tooltip="Oral diseases." w:history="1">
              <w:r>
                <w:rPr>
                  <w:rStyle w:val="a6"/>
                  <w:rFonts w:ascii="宋体" w:hAnsi="宋体"/>
                  <w:color w:val="auto"/>
                  <w:sz w:val="24"/>
                  <w:szCs w:val="24"/>
                  <w:shd w:val="clear" w:color="auto" w:fill="FFFFFF"/>
                </w:rPr>
                <w:t>Oral Dis.</w:t>
              </w:r>
            </w:hyperlink>
            <w:r>
              <w:rPr>
                <w:rStyle w:val="apple-converted-space"/>
                <w:rFonts w:ascii="宋体"/>
                <w:sz w:val="24"/>
                <w:szCs w:val="24"/>
                <w:shd w:val="clear" w:color="auto" w:fill="FFFFFF"/>
              </w:rPr>
              <w:t> </w:t>
            </w:r>
            <w:r>
              <w:rPr>
                <w:rFonts w:ascii="宋体" w:hAnsi="宋体"/>
                <w:sz w:val="24"/>
                <w:szCs w:val="24"/>
                <w:shd w:val="clear" w:color="auto" w:fill="FFFFFF"/>
              </w:rPr>
              <w:t>2017 ;23(6):784-794.</w:t>
            </w:r>
          </w:p>
          <w:p w:rsidR="004C7165" w:rsidRDefault="0039699D">
            <w:pPr>
              <w:spacing w:line="360" w:lineRule="auto"/>
              <w:jc w:val="left"/>
              <w:rPr>
                <w:rFonts w:ascii="宋体" w:hAnsi="宋体"/>
                <w:kern w:val="0"/>
                <w:sz w:val="24"/>
                <w:szCs w:val="24"/>
              </w:rPr>
            </w:pPr>
            <w:r>
              <w:rPr>
                <w:rFonts w:ascii="宋体" w:hAnsi="宋体"/>
                <w:sz w:val="24"/>
                <w:szCs w:val="24"/>
                <w:shd w:val="clear" w:color="auto" w:fill="FFFFFF"/>
              </w:rPr>
              <w:t xml:space="preserve">3. </w:t>
            </w:r>
            <w:r>
              <w:rPr>
                <w:rFonts w:ascii="宋体" w:hAnsi="宋体"/>
                <w:kern w:val="0"/>
                <w:sz w:val="24"/>
                <w:szCs w:val="24"/>
              </w:rPr>
              <w:t xml:space="preserve">Applications of cone-beam computedtomography to assess the effects of labialcrownmorphologies and collum angleson torque for maxillary anterior </w:t>
            </w:r>
            <w:r>
              <w:rPr>
                <w:rFonts w:ascii="宋体" w:hAnsi="宋体"/>
                <w:kern w:val="0"/>
                <w:sz w:val="24"/>
                <w:szCs w:val="24"/>
              </w:rPr>
              <w:lastRenderedPageBreak/>
              <w:t>teeth [J].Am J OrthodDentofacialOrthop. 2016;150(11):789-795</w:t>
            </w:r>
          </w:p>
          <w:p w:rsidR="004C7165" w:rsidRDefault="0039699D">
            <w:pPr>
              <w:spacing w:line="360" w:lineRule="auto"/>
              <w:jc w:val="left"/>
              <w:rPr>
                <w:rFonts w:ascii="宋体" w:hAnsi="宋体"/>
                <w:sz w:val="24"/>
                <w:szCs w:val="24"/>
              </w:rPr>
            </w:pPr>
            <w:r>
              <w:rPr>
                <w:rFonts w:ascii="宋体" w:hAnsi="宋体"/>
                <w:kern w:val="0"/>
                <w:sz w:val="24"/>
                <w:szCs w:val="24"/>
              </w:rPr>
              <w:t xml:space="preserve">4 </w:t>
            </w:r>
            <w:r>
              <w:rPr>
                <w:rStyle w:val="A30"/>
                <w:rFonts w:ascii="宋体" w:hAnsi="宋体" w:cs="Myriad Pro"/>
                <w:color w:val="auto"/>
                <w:sz w:val="24"/>
                <w:szCs w:val="24"/>
              </w:rPr>
              <w:t xml:space="preserve">Customized Lingual Orthodontic Treatment of Skeletal Class II Malocclusion with Bilateral Maxillary First Premolar Extraction: Case Report.  </w:t>
            </w:r>
            <w:r>
              <w:rPr>
                <w:rFonts w:ascii="宋体" w:hAnsi="宋体"/>
                <w:sz w:val="24"/>
                <w:szCs w:val="24"/>
              </w:rPr>
              <w:t>IJO.  2017;28(1):59-66.</w:t>
            </w:r>
          </w:p>
          <w:p w:rsidR="004C7165" w:rsidRDefault="0039699D">
            <w:pPr>
              <w:spacing w:line="360" w:lineRule="auto"/>
              <w:jc w:val="left"/>
              <w:rPr>
                <w:rFonts w:ascii="宋体" w:hAnsi="宋体"/>
                <w:kern w:val="0"/>
                <w:sz w:val="24"/>
                <w:szCs w:val="24"/>
              </w:rPr>
            </w:pPr>
            <w:r>
              <w:rPr>
                <w:rFonts w:ascii="宋体" w:hAnsi="宋体"/>
                <w:sz w:val="24"/>
                <w:szCs w:val="24"/>
              </w:rPr>
              <w:t>5.</w:t>
            </w:r>
            <w:r>
              <w:rPr>
                <w:rFonts w:ascii="宋体" w:hAnsi="宋体"/>
                <w:kern w:val="0"/>
                <w:sz w:val="24"/>
                <w:szCs w:val="24"/>
              </w:rPr>
              <w:t>Aesthetic Improvement by Invisalign to Correct Severe Class 3 Malocclusion[J]. DentalAsia.2014 ; July/August:62-66.</w:t>
            </w:r>
          </w:p>
          <w:p w:rsidR="004C7165" w:rsidRDefault="0039699D">
            <w:pPr>
              <w:spacing w:line="360" w:lineRule="auto"/>
              <w:jc w:val="left"/>
              <w:rPr>
                <w:rFonts w:ascii="宋体" w:hAnsi="宋体"/>
                <w:kern w:val="0"/>
                <w:sz w:val="24"/>
                <w:szCs w:val="24"/>
              </w:rPr>
            </w:pPr>
            <w:r>
              <w:rPr>
                <w:rFonts w:ascii="宋体" w:hAnsi="宋体"/>
                <w:kern w:val="0"/>
                <w:sz w:val="24"/>
                <w:szCs w:val="24"/>
              </w:rPr>
              <w:t>6. Pilot Studies on Class</w:t>
            </w:r>
            <w:r>
              <w:rPr>
                <w:rFonts w:ascii="宋体" w:hAnsi="宋体" w:hint="eastAsia"/>
                <w:kern w:val="0"/>
                <w:sz w:val="24"/>
                <w:szCs w:val="24"/>
              </w:rPr>
              <w:t>Ⅲ</w:t>
            </w:r>
            <w:r>
              <w:rPr>
                <w:rFonts w:ascii="宋体" w:hAnsi="宋体"/>
                <w:kern w:val="0"/>
                <w:sz w:val="24"/>
                <w:szCs w:val="24"/>
              </w:rPr>
              <w:t>Maloccusion Corrections Using Invisible Aligns[J]. Dental Asia.2016; may/June:52-55.</w:t>
            </w:r>
          </w:p>
          <w:p w:rsidR="004C7165" w:rsidRDefault="0039699D">
            <w:pPr>
              <w:spacing w:line="360" w:lineRule="auto"/>
              <w:jc w:val="left"/>
              <w:rPr>
                <w:rFonts w:ascii="宋体" w:hAnsi="宋体" w:cs="Courier New"/>
                <w:kern w:val="0"/>
                <w:sz w:val="24"/>
                <w:szCs w:val="24"/>
              </w:rPr>
            </w:pPr>
            <w:r>
              <w:rPr>
                <w:rFonts w:ascii="宋体" w:hAnsi="宋体"/>
                <w:kern w:val="0"/>
                <w:sz w:val="24"/>
                <w:szCs w:val="24"/>
              </w:rPr>
              <w:t xml:space="preserve">7. </w:t>
            </w:r>
            <w:r>
              <w:rPr>
                <w:rFonts w:ascii="宋体" w:hAnsi="宋体" w:cs="Courier New"/>
                <w:kern w:val="0"/>
                <w:sz w:val="24"/>
                <w:szCs w:val="24"/>
              </w:rPr>
              <w:t>839</w:t>
            </w:r>
            <w:r>
              <w:rPr>
                <w:rFonts w:ascii="宋体" w:hAnsi="宋体" w:cs="Courier New" w:hint="eastAsia"/>
                <w:kern w:val="0"/>
                <w:sz w:val="24"/>
                <w:szCs w:val="24"/>
              </w:rPr>
              <w:t>名</w:t>
            </w:r>
            <w:r>
              <w:rPr>
                <w:rFonts w:ascii="宋体" w:hAnsi="宋体" w:cs="Courier New"/>
                <w:kern w:val="0"/>
                <w:sz w:val="24"/>
                <w:szCs w:val="24"/>
              </w:rPr>
              <w:t>5</w:t>
            </w:r>
            <w:r>
              <w:rPr>
                <w:rFonts w:ascii="宋体" w:hAnsi="宋体" w:cs="Courier New" w:hint="eastAsia"/>
                <w:kern w:val="0"/>
                <w:sz w:val="24"/>
                <w:szCs w:val="24"/>
              </w:rPr>
              <w:t>至</w:t>
            </w:r>
            <w:r>
              <w:rPr>
                <w:rFonts w:ascii="宋体" w:hAnsi="宋体" w:cs="Courier New"/>
                <w:kern w:val="0"/>
                <w:sz w:val="24"/>
                <w:szCs w:val="24"/>
              </w:rPr>
              <w:t>18</w:t>
            </w:r>
            <w:r>
              <w:rPr>
                <w:rFonts w:ascii="宋体" w:hAnsi="宋体" w:cs="Courier New" w:hint="eastAsia"/>
                <w:kern w:val="0"/>
                <w:sz w:val="24"/>
                <w:szCs w:val="24"/>
              </w:rPr>
              <w:t>岁健康人下颌角与手骨、全身骨密度的相关性研究</w:t>
            </w:r>
            <w:r>
              <w:rPr>
                <w:rFonts w:ascii="宋体" w:hAnsi="宋体" w:cs="Courier New"/>
                <w:kern w:val="0"/>
                <w:sz w:val="24"/>
                <w:szCs w:val="24"/>
              </w:rPr>
              <w:t xml:space="preserve">[J]. </w:t>
            </w:r>
            <w:r>
              <w:rPr>
                <w:rFonts w:ascii="宋体" w:hAnsi="宋体" w:cs="Courier New" w:hint="eastAsia"/>
                <w:kern w:val="0"/>
                <w:sz w:val="24"/>
                <w:szCs w:val="24"/>
              </w:rPr>
              <w:t>中华口腔医学杂志</w:t>
            </w:r>
            <w:r>
              <w:rPr>
                <w:rFonts w:ascii="宋体" w:hAnsi="宋体" w:cs="Courier New"/>
                <w:kern w:val="0"/>
                <w:sz w:val="24"/>
                <w:szCs w:val="24"/>
              </w:rPr>
              <w:t>.2015;50(9):540-543.</w:t>
            </w:r>
          </w:p>
          <w:p w:rsidR="004C7165" w:rsidRDefault="0039699D">
            <w:pPr>
              <w:spacing w:line="360" w:lineRule="auto"/>
              <w:jc w:val="left"/>
              <w:rPr>
                <w:rFonts w:ascii="宋体" w:hAnsi="宋体" w:cs="Courier New"/>
                <w:kern w:val="0"/>
                <w:sz w:val="24"/>
                <w:szCs w:val="24"/>
              </w:rPr>
            </w:pPr>
            <w:r>
              <w:rPr>
                <w:rFonts w:ascii="宋体" w:hAnsi="宋体" w:cs="Courier New"/>
                <w:kern w:val="0"/>
                <w:sz w:val="24"/>
                <w:szCs w:val="24"/>
              </w:rPr>
              <w:t xml:space="preserve">8. </w:t>
            </w:r>
            <w:r>
              <w:rPr>
                <w:rFonts w:ascii="宋体" w:hAnsi="宋体" w:cs="Courier New" w:hint="eastAsia"/>
                <w:kern w:val="0"/>
                <w:sz w:val="24"/>
                <w:szCs w:val="24"/>
              </w:rPr>
              <w:t>选区激光熔化直接成型个性化舌侧托槽的初步研究</w:t>
            </w:r>
            <w:r>
              <w:rPr>
                <w:rFonts w:ascii="宋体" w:hAnsi="宋体" w:cs="Courier New"/>
                <w:kern w:val="0"/>
                <w:sz w:val="24"/>
                <w:szCs w:val="24"/>
              </w:rPr>
              <w:t xml:space="preserve">[J]. </w:t>
            </w:r>
            <w:r>
              <w:rPr>
                <w:rFonts w:ascii="宋体" w:hAnsi="宋体" w:cs="Courier New" w:hint="eastAsia"/>
                <w:kern w:val="0"/>
                <w:sz w:val="24"/>
                <w:szCs w:val="24"/>
              </w:rPr>
              <w:t>激光技术</w:t>
            </w:r>
            <w:r>
              <w:rPr>
                <w:rFonts w:ascii="宋体" w:hAnsi="宋体" w:cs="Courier New"/>
                <w:kern w:val="0"/>
                <w:sz w:val="24"/>
                <w:szCs w:val="24"/>
              </w:rPr>
              <w:t>;2012,36(3):301-306.</w:t>
            </w:r>
          </w:p>
          <w:p w:rsidR="004C7165" w:rsidRDefault="0039699D">
            <w:pPr>
              <w:spacing w:line="360" w:lineRule="auto"/>
              <w:jc w:val="left"/>
              <w:rPr>
                <w:rFonts w:ascii="宋体" w:hAnsi="宋体" w:cs="Courier New"/>
                <w:kern w:val="0"/>
                <w:sz w:val="24"/>
                <w:szCs w:val="24"/>
              </w:rPr>
            </w:pPr>
            <w:r>
              <w:rPr>
                <w:rFonts w:ascii="宋体" w:hAnsi="宋体" w:cs="Courier New"/>
                <w:kern w:val="0"/>
                <w:sz w:val="24"/>
                <w:szCs w:val="24"/>
              </w:rPr>
              <w:t xml:space="preserve">9. </w:t>
            </w:r>
            <w:r>
              <w:rPr>
                <w:rFonts w:ascii="宋体" w:hAnsi="宋体" w:cs="Courier New" w:hint="eastAsia"/>
                <w:kern w:val="0"/>
                <w:sz w:val="24"/>
                <w:szCs w:val="24"/>
              </w:rPr>
              <w:t>国产个性化舌侧矫治器治疗下颌牙列拥挤</w:t>
            </w:r>
            <w:r>
              <w:rPr>
                <w:rFonts w:ascii="宋体" w:hAnsi="宋体" w:cs="Courier New"/>
                <w:kern w:val="0"/>
                <w:sz w:val="24"/>
                <w:szCs w:val="24"/>
              </w:rPr>
              <w:t xml:space="preserve">[J]. </w:t>
            </w:r>
            <w:r>
              <w:rPr>
                <w:rFonts w:ascii="宋体" w:hAnsi="宋体" w:cs="Courier New" w:hint="eastAsia"/>
                <w:kern w:val="0"/>
                <w:sz w:val="24"/>
                <w:szCs w:val="24"/>
              </w:rPr>
              <w:t>中华口腔医学杂志</w:t>
            </w:r>
            <w:r>
              <w:rPr>
                <w:rFonts w:ascii="宋体" w:hAnsi="宋体" w:cs="Courier New"/>
                <w:kern w:val="0"/>
                <w:sz w:val="24"/>
                <w:szCs w:val="24"/>
              </w:rPr>
              <w:t>.2012;47(4):253-254.</w:t>
            </w:r>
          </w:p>
          <w:p w:rsidR="004C7165" w:rsidRDefault="0039699D">
            <w:pPr>
              <w:spacing w:line="360" w:lineRule="auto"/>
              <w:jc w:val="left"/>
              <w:rPr>
                <w:rFonts w:ascii="宋体" w:hAnsi="宋体" w:cs="Courier New"/>
                <w:kern w:val="0"/>
                <w:sz w:val="24"/>
                <w:szCs w:val="24"/>
              </w:rPr>
            </w:pPr>
            <w:r>
              <w:rPr>
                <w:rFonts w:ascii="宋体" w:hAnsi="宋体" w:cs="Courier New"/>
                <w:kern w:val="0"/>
                <w:sz w:val="24"/>
                <w:szCs w:val="24"/>
              </w:rPr>
              <w:t>10.</w:t>
            </w:r>
            <w:r>
              <w:rPr>
                <w:rFonts w:ascii="宋体" w:hAnsi="宋体" w:cs="Courier New" w:hint="eastAsia"/>
                <w:kern w:val="0"/>
                <w:sz w:val="24"/>
                <w:szCs w:val="24"/>
              </w:rPr>
              <w:t>个体化舌侧矫治器的初步实验研究</w:t>
            </w:r>
            <w:r>
              <w:rPr>
                <w:rFonts w:ascii="宋体" w:hAnsi="宋体" w:cs="Courier New"/>
                <w:kern w:val="0"/>
                <w:sz w:val="24"/>
                <w:szCs w:val="24"/>
              </w:rPr>
              <w:t>[J].</w:t>
            </w:r>
            <w:r>
              <w:rPr>
                <w:rFonts w:ascii="宋体" w:hAnsi="宋体" w:cs="Courier New" w:hint="eastAsia"/>
                <w:kern w:val="0"/>
                <w:sz w:val="24"/>
                <w:szCs w:val="24"/>
              </w:rPr>
              <w:t>国际口腔医学杂志；</w:t>
            </w:r>
            <w:r>
              <w:rPr>
                <w:rFonts w:ascii="宋体" w:hAnsi="宋体" w:cs="Courier New"/>
                <w:kern w:val="0"/>
                <w:sz w:val="24"/>
                <w:szCs w:val="24"/>
              </w:rPr>
              <w:t>2011;38(5):518-523.</w:t>
            </w:r>
          </w:p>
          <w:p w:rsidR="004C7165" w:rsidRDefault="0039699D">
            <w:pPr>
              <w:spacing w:line="360" w:lineRule="auto"/>
              <w:jc w:val="left"/>
              <w:rPr>
                <w:rFonts w:ascii="宋体" w:hAnsi="宋体" w:cs="Courier New"/>
                <w:kern w:val="0"/>
                <w:sz w:val="24"/>
                <w:szCs w:val="24"/>
              </w:rPr>
            </w:pPr>
            <w:r>
              <w:rPr>
                <w:rFonts w:ascii="宋体" w:hAnsi="宋体" w:cs="Courier New"/>
                <w:kern w:val="0"/>
                <w:sz w:val="24"/>
                <w:szCs w:val="24"/>
              </w:rPr>
              <w:t>11.</w:t>
            </w:r>
            <w:r>
              <w:rPr>
                <w:rFonts w:ascii="宋体" w:hAnsi="宋体" w:cs="Courier New" w:hint="eastAsia"/>
                <w:kern w:val="0"/>
                <w:sz w:val="24"/>
                <w:szCs w:val="24"/>
              </w:rPr>
              <w:t>国产个体化舌侧矫治技术治疗双牙合前突１例</w:t>
            </w:r>
            <w:r>
              <w:rPr>
                <w:rFonts w:ascii="宋体" w:hAnsi="宋体" w:cs="Courier New"/>
                <w:kern w:val="0"/>
                <w:sz w:val="24"/>
                <w:szCs w:val="24"/>
              </w:rPr>
              <w:t>[J].</w:t>
            </w:r>
            <w:r>
              <w:rPr>
                <w:rFonts w:ascii="宋体" w:hAnsi="宋体" w:cs="Courier New" w:hint="eastAsia"/>
                <w:kern w:val="0"/>
                <w:sz w:val="24"/>
                <w:szCs w:val="24"/>
              </w:rPr>
              <w:t>口腔医学纵横；</w:t>
            </w:r>
            <w:r>
              <w:rPr>
                <w:rFonts w:ascii="宋体" w:hAnsi="宋体" w:cs="Courier New"/>
                <w:kern w:val="0"/>
                <w:sz w:val="24"/>
                <w:szCs w:val="24"/>
              </w:rPr>
              <w:t>31</w:t>
            </w:r>
            <w:r>
              <w:rPr>
                <w:rFonts w:ascii="宋体" w:hAnsi="宋体" w:cs="Courier New" w:hint="eastAsia"/>
                <w:kern w:val="0"/>
                <w:sz w:val="24"/>
                <w:szCs w:val="24"/>
              </w:rPr>
              <w:t>（</w:t>
            </w:r>
            <w:r>
              <w:rPr>
                <w:rFonts w:ascii="宋体" w:hAnsi="宋体" w:cs="Courier New"/>
                <w:kern w:val="0"/>
                <w:sz w:val="24"/>
                <w:szCs w:val="24"/>
              </w:rPr>
              <w:t>10</w:t>
            </w:r>
            <w:r>
              <w:rPr>
                <w:rFonts w:ascii="宋体" w:hAnsi="宋体" w:cs="Courier New" w:hint="eastAsia"/>
                <w:kern w:val="0"/>
                <w:sz w:val="24"/>
                <w:szCs w:val="24"/>
              </w:rPr>
              <w:t>）：</w:t>
            </w:r>
            <w:r>
              <w:rPr>
                <w:rFonts w:ascii="宋体" w:hAnsi="宋体" w:cs="Courier New"/>
                <w:kern w:val="0"/>
                <w:sz w:val="24"/>
                <w:szCs w:val="24"/>
              </w:rPr>
              <w:t>1045-1046.</w:t>
            </w:r>
          </w:p>
          <w:p w:rsidR="004C7165" w:rsidRDefault="0039699D">
            <w:pPr>
              <w:spacing w:line="360" w:lineRule="auto"/>
              <w:jc w:val="left"/>
              <w:rPr>
                <w:rFonts w:ascii="宋体" w:hAnsi="宋体" w:cs="FZSSK--GBK1-0"/>
                <w:kern w:val="0"/>
                <w:sz w:val="24"/>
                <w:szCs w:val="24"/>
              </w:rPr>
            </w:pPr>
            <w:r>
              <w:rPr>
                <w:rFonts w:ascii="宋体" w:hAnsi="宋体" w:cs="Courier New"/>
                <w:kern w:val="0"/>
                <w:sz w:val="24"/>
                <w:szCs w:val="24"/>
              </w:rPr>
              <w:t>12.</w:t>
            </w:r>
            <w:r>
              <w:rPr>
                <w:rFonts w:ascii="宋体" w:hAnsi="宋体" w:cs="FZHTK--GBK1-0" w:hint="eastAsia"/>
                <w:kern w:val="0"/>
                <w:sz w:val="24"/>
                <w:szCs w:val="24"/>
              </w:rPr>
              <w:t>内收前牙时微种植钉调控牙合平面的有限元分析</w:t>
            </w:r>
            <w:r>
              <w:rPr>
                <w:rFonts w:ascii="宋体" w:hAnsi="宋体" w:cs="Courier New"/>
                <w:kern w:val="0"/>
                <w:sz w:val="24"/>
                <w:szCs w:val="24"/>
              </w:rPr>
              <w:t>[J].</w:t>
            </w:r>
            <w:r>
              <w:rPr>
                <w:rFonts w:ascii="宋体" w:hAnsi="宋体" w:cs="FZSSK--GBK1-0" w:hint="eastAsia"/>
                <w:kern w:val="0"/>
                <w:sz w:val="24"/>
                <w:szCs w:val="24"/>
              </w:rPr>
              <w:t>实用口腔医学杂志</w:t>
            </w:r>
            <w:r>
              <w:rPr>
                <w:rFonts w:ascii="宋体" w:hAnsi="宋体" w:cs="FZSSK--GBK1-0"/>
                <w:kern w:val="0"/>
                <w:sz w:val="24"/>
                <w:szCs w:val="24"/>
              </w:rPr>
              <w:t>;2016;33(3):316-321.</w:t>
            </w:r>
          </w:p>
          <w:p w:rsidR="004C7165" w:rsidRDefault="0039699D">
            <w:pPr>
              <w:spacing w:line="360" w:lineRule="auto"/>
              <w:jc w:val="left"/>
              <w:rPr>
                <w:rFonts w:ascii="宋体"/>
                <w:sz w:val="24"/>
                <w:szCs w:val="24"/>
              </w:rPr>
            </w:pPr>
            <w:r>
              <w:rPr>
                <w:rFonts w:ascii="宋体" w:hAnsi="宋体" w:cs="FZSSK--GBK1-0"/>
                <w:kern w:val="0"/>
                <w:sz w:val="24"/>
                <w:szCs w:val="24"/>
              </w:rPr>
              <w:t>13.</w:t>
            </w:r>
            <w:r>
              <w:rPr>
                <w:rFonts w:ascii="宋体" w:hAnsi="宋体" w:hint="eastAsia"/>
                <w:sz w:val="24"/>
                <w:szCs w:val="24"/>
              </w:rPr>
              <w:t>周雪中，孔卫东</w:t>
            </w:r>
            <w:r>
              <w:rPr>
                <w:rFonts w:ascii="宋体" w:hAnsi="宋体"/>
                <w:sz w:val="24"/>
                <w:szCs w:val="24"/>
              </w:rPr>
              <w:t xml:space="preserve">. </w:t>
            </w:r>
            <w:r>
              <w:rPr>
                <w:rFonts w:ascii="宋体" w:hAnsi="宋体" w:hint="eastAsia"/>
                <w:sz w:val="24"/>
                <w:szCs w:val="24"/>
              </w:rPr>
              <w:t>应用锥形束</w:t>
            </w:r>
            <w:r>
              <w:rPr>
                <w:rFonts w:ascii="宋体" w:hAnsi="宋体"/>
                <w:sz w:val="24"/>
                <w:szCs w:val="24"/>
              </w:rPr>
              <w:t>CT</w:t>
            </w:r>
            <w:r>
              <w:rPr>
                <w:rFonts w:ascii="宋体" w:hAnsi="宋体" w:hint="eastAsia"/>
                <w:sz w:val="24"/>
                <w:szCs w:val="24"/>
              </w:rPr>
              <w:t>建立微种植钉内收上前牙的有限元模型</w:t>
            </w:r>
            <w:r>
              <w:rPr>
                <w:rFonts w:ascii="宋体" w:hAnsi="宋体"/>
                <w:sz w:val="24"/>
                <w:szCs w:val="24"/>
              </w:rPr>
              <w:t>[J].</w:t>
            </w:r>
            <w:r>
              <w:rPr>
                <w:rFonts w:ascii="宋体" w:hAnsi="宋体" w:hint="eastAsia"/>
                <w:sz w:val="24"/>
                <w:szCs w:val="24"/>
              </w:rPr>
              <w:t>暨南大学学报（自然科学与医学版），</w:t>
            </w:r>
            <w:r>
              <w:rPr>
                <w:rFonts w:ascii="宋体" w:hAnsi="宋体"/>
                <w:sz w:val="24"/>
                <w:szCs w:val="24"/>
              </w:rPr>
              <w:t>2017, 38</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sz w:val="24"/>
                <w:szCs w:val="24"/>
              </w:rPr>
              <w:t>267-273</w:t>
            </w:r>
            <w:r>
              <w:rPr>
                <w:rFonts w:ascii="宋体" w:hAnsi="宋体" w:hint="eastAsia"/>
                <w:sz w:val="24"/>
                <w:szCs w:val="24"/>
              </w:rPr>
              <w:t>。</w:t>
            </w:r>
          </w:p>
          <w:p w:rsidR="004C7165" w:rsidRDefault="0039699D">
            <w:pPr>
              <w:spacing w:line="360" w:lineRule="auto"/>
              <w:jc w:val="left"/>
              <w:rPr>
                <w:rFonts w:ascii="宋体" w:hAnsi="宋体"/>
                <w:sz w:val="24"/>
                <w:szCs w:val="24"/>
              </w:rPr>
            </w:pPr>
            <w:r>
              <w:rPr>
                <w:rFonts w:ascii="宋体" w:hAnsi="宋体" w:hint="eastAsia"/>
                <w:sz w:val="24"/>
                <w:szCs w:val="24"/>
              </w:rPr>
              <w:t>主要参与者张武论文</w:t>
            </w:r>
            <w:r>
              <w:rPr>
                <w:rFonts w:ascii="宋体" w:hAnsi="宋体"/>
                <w:sz w:val="24"/>
                <w:szCs w:val="24"/>
              </w:rPr>
              <w:t>(</w:t>
            </w:r>
            <w:r>
              <w:rPr>
                <w:rFonts w:ascii="宋体" w:hAnsi="宋体" w:hint="eastAsia"/>
                <w:sz w:val="24"/>
                <w:szCs w:val="24"/>
              </w:rPr>
              <w:t>近三年第一作者和通信作者论文</w:t>
            </w:r>
            <w:r>
              <w:rPr>
                <w:rFonts w:ascii="宋体" w:hAnsi="宋体"/>
                <w:sz w:val="24"/>
                <w:szCs w:val="24"/>
              </w:rPr>
              <w:t>)</w:t>
            </w:r>
          </w:p>
          <w:p w:rsidR="004C7165" w:rsidRDefault="0039699D">
            <w:pPr>
              <w:autoSpaceDE w:val="0"/>
              <w:autoSpaceDN w:val="0"/>
              <w:adjustRightInd w:val="0"/>
              <w:spacing w:line="360" w:lineRule="auto"/>
              <w:jc w:val="left"/>
              <w:rPr>
                <w:rFonts w:ascii="宋体"/>
                <w:sz w:val="24"/>
                <w:szCs w:val="24"/>
              </w:rPr>
            </w:pPr>
            <w:r>
              <w:rPr>
                <w:rFonts w:ascii="宋体" w:hAnsi="宋体"/>
                <w:sz w:val="24"/>
                <w:szCs w:val="24"/>
              </w:rPr>
              <w:t>1.</w:t>
            </w:r>
            <w:r>
              <w:rPr>
                <w:rFonts w:ascii="宋体" w:hAnsi="宋体" w:cs="AdvOT596495f2"/>
                <w:kern w:val="0"/>
                <w:sz w:val="24"/>
                <w:szCs w:val="24"/>
              </w:rPr>
              <w:t>Guowei Li, SimingYua, Wei Xue, Dong Maa</w:t>
            </w:r>
            <w:r>
              <w:rPr>
                <w:rFonts w:ascii="宋体" w:hAnsi="Segoe UI Symbol" w:cs="Segoe UI Symbol"/>
                <w:kern w:val="0"/>
                <w:sz w:val="24"/>
                <w:szCs w:val="24"/>
              </w:rPr>
              <w:t>⁎</w:t>
            </w:r>
            <w:r>
              <w:rPr>
                <w:rFonts w:ascii="宋体" w:hAnsi="宋体" w:cs="AdvOT596495f2"/>
                <w:kern w:val="0"/>
                <w:sz w:val="24"/>
                <w:szCs w:val="24"/>
              </w:rPr>
              <w:t>, Wu Zhang,</w:t>
            </w:r>
            <w:r>
              <w:rPr>
                <w:rFonts w:ascii="宋体" w:hAnsi="Segoe UI Symbol" w:cs="Segoe UI Symbol"/>
                <w:kern w:val="0"/>
                <w:sz w:val="24"/>
                <w:szCs w:val="24"/>
              </w:rPr>
              <w:t>⁎</w:t>
            </w:r>
            <w:r>
              <w:rPr>
                <w:rFonts w:ascii="宋体" w:hAnsi="宋体"/>
                <w:sz w:val="24"/>
                <w:szCs w:val="24"/>
              </w:rPr>
              <w:t xml:space="preserve"> Chitosan-graft-PAMAM loading nitric oxide for efficient antibacterial</w:t>
            </w:r>
            <w:r>
              <w:rPr>
                <w:rFonts w:ascii="宋体" w:hAnsi="宋体" w:cs="AdvOT596495f2"/>
                <w:kern w:val="0"/>
                <w:sz w:val="24"/>
                <w:szCs w:val="24"/>
              </w:rPr>
              <w:t>application. Chemical Engineering Journal347 (2018) 923–931</w:t>
            </w:r>
          </w:p>
          <w:p w:rsidR="004C7165" w:rsidRDefault="0039699D">
            <w:pPr>
              <w:snapToGrid w:val="0"/>
              <w:spacing w:line="360" w:lineRule="auto"/>
              <w:jc w:val="left"/>
              <w:rPr>
                <w:rFonts w:ascii="宋体" w:hAnsi="宋体" w:cs="HelveticaNeueLTStd-LtIt"/>
                <w:kern w:val="0"/>
                <w:sz w:val="24"/>
                <w:szCs w:val="24"/>
              </w:rPr>
            </w:pPr>
            <w:r>
              <w:rPr>
                <w:rFonts w:ascii="宋体" w:hAnsi="宋体" w:cs="Courier New"/>
                <w:kern w:val="0"/>
                <w:sz w:val="24"/>
                <w:szCs w:val="24"/>
              </w:rPr>
              <w:t>2.</w:t>
            </w:r>
            <w:r>
              <w:rPr>
                <w:rFonts w:ascii="宋体" w:hAnsi="宋体" w:cs="HelveticaNeueLTStd-LtIt"/>
                <w:kern w:val="0"/>
                <w:sz w:val="24"/>
                <w:szCs w:val="24"/>
              </w:rPr>
              <w:t>Impulsiveness in Reactive Dieters:Evidence From Delay Discounting inOrthodontic Patients. Front. Hum. Neurosci 2018, 12</w:t>
            </w:r>
            <w:r>
              <w:rPr>
                <w:rFonts w:ascii="宋体" w:hAnsi="宋体" w:cs="HelveticaNeueLTStd-LtIt" w:hint="eastAsia"/>
                <w:kern w:val="0"/>
                <w:sz w:val="24"/>
                <w:szCs w:val="24"/>
              </w:rPr>
              <w:t>（</w:t>
            </w:r>
            <w:r>
              <w:rPr>
                <w:rFonts w:ascii="宋体" w:hAnsi="宋体" w:cs="HelveticaNeueLTStd-LtIt"/>
                <w:kern w:val="0"/>
                <w:sz w:val="24"/>
                <w:szCs w:val="24"/>
              </w:rPr>
              <w:t>8</w:t>
            </w:r>
            <w:r>
              <w:rPr>
                <w:rFonts w:ascii="宋体" w:hAnsi="宋体" w:cs="HelveticaNeueLTStd-LtIt" w:hint="eastAsia"/>
                <w:kern w:val="0"/>
                <w:sz w:val="24"/>
                <w:szCs w:val="24"/>
              </w:rPr>
              <w:t>）</w:t>
            </w:r>
            <w:r>
              <w:rPr>
                <w:rFonts w:ascii="宋体" w:hAnsi="宋体" w:cs="HelveticaNeueLTStd-LtIt"/>
                <w:kern w:val="0"/>
                <w:sz w:val="24"/>
                <w:szCs w:val="24"/>
              </w:rPr>
              <w:t>347</w:t>
            </w:r>
          </w:p>
          <w:p w:rsidR="004C7165" w:rsidRDefault="0039699D">
            <w:pPr>
              <w:spacing w:line="360" w:lineRule="auto"/>
              <w:jc w:val="left"/>
              <w:rPr>
                <w:rFonts w:ascii="宋体" w:hAnsi="宋体"/>
                <w:sz w:val="24"/>
                <w:szCs w:val="24"/>
              </w:rPr>
            </w:pPr>
            <w:r>
              <w:rPr>
                <w:rFonts w:ascii="宋体" w:hAnsi="宋体" w:cs="HelveticaNeueLTStd-LtIt"/>
                <w:kern w:val="0"/>
                <w:sz w:val="24"/>
                <w:szCs w:val="24"/>
              </w:rPr>
              <w:t>3.</w:t>
            </w:r>
            <w:r>
              <w:rPr>
                <w:rFonts w:ascii="宋体" w:hAnsi="宋体"/>
                <w:sz w:val="24"/>
                <w:szCs w:val="24"/>
              </w:rPr>
              <w:t xml:space="preserve"> Wu Zhang,GuangliRen,HaoXuet al. Genipin cross-linked chitosan hydrogel </w:t>
            </w:r>
            <w:r>
              <w:rPr>
                <w:rFonts w:ascii="宋体" w:hAnsi="宋体"/>
                <w:sz w:val="24"/>
                <w:szCs w:val="24"/>
              </w:rPr>
              <w:lastRenderedPageBreak/>
              <w:t>for the controlled releaseoftetracyclinewithcontrolledreleaseproperty,lowercytotoxicity,and long-term bioactivity. J Polym Res 2016, 23:156</w:t>
            </w:r>
          </w:p>
          <w:p w:rsidR="004C7165" w:rsidRDefault="0039699D">
            <w:pPr>
              <w:spacing w:line="360" w:lineRule="auto"/>
              <w:jc w:val="left"/>
              <w:rPr>
                <w:rFonts w:ascii="宋体" w:hAnsi="宋体"/>
                <w:sz w:val="24"/>
                <w:szCs w:val="24"/>
              </w:rPr>
            </w:pPr>
            <w:r>
              <w:rPr>
                <w:rFonts w:ascii="宋体" w:hAnsi="宋体"/>
                <w:sz w:val="24"/>
                <w:szCs w:val="24"/>
              </w:rPr>
              <w:t>4. Wu Zhang, Fanna Liu. Effect of Polylysine on Blood Clotting, and Red Blood Cell Morphology, Aggregation and Hemolysis.Journal of Nanoscience and Nanotechnology 2017, 17, 251–255.</w:t>
            </w:r>
          </w:p>
        </w:tc>
      </w:tr>
      <w:tr w:rsidR="004C7165">
        <w:tc>
          <w:tcPr>
            <w:tcW w:w="560" w:type="dxa"/>
          </w:tcPr>
          <w:p w:rsidR="004C7165" w:rsidRDefault="0039699D">
            <w:pPr>
              <w:spacing w:line="360" w:lineRule="auto"/>
              <w:jc w:val="left"/>
              <w:rPr>
                <w:sz w:val="24"/>
                <w:szCs w:val="24"/>
              </w:rPr>
            </w:pPr>
            <w:r>
              <w:rPr>
                <w:rFonts w:ascii="仿宋" w:eastAsia="仿宋" w:hAnsi="仿宋"/>
                <w:spacing w:val="2"/>
                <w:sz w:val="24"/>
                <w:szCs w:val="24"/>
              </w:rPr>
              <w:lastRenderedPageBreak/>
              <w:t>10.</w:t>
            </w:r>
            <w:r>
              <w:rPr>
                <w:rFonts w:ascii="仿宋" w:eastAsia="仿宋" w:hAnsi="仿宋" w:hint="eastAsia"/>
                <w:spacing w:val="2"/>
                <w:sz w:val="24"/>
                <w:szCs w:val="24"/>
              </w:rPr>
              <w:t>完成人情况</w:t>
            </w:r>
          </w:p>
        </w:tc>
        <w:tc>
          <w:tcPr>
            <w:tcW w:w="8797" w:type="dxa"/>
          </w:tcPr>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560"/>
              <w:gridCol w:w="992"/>
              <w:gridCol w:w="709"/>
              <w:gridCol w:w="709"/>
              <w:gridCol w:w="1134"/>
              <w:gridCol w:w="1020"/>
              <w:gridCol w:w="1389"/>
              <w:gridCol w:w="1560"/>
            </w:tblGrid>
            <w:tr w:rsidR="004C7165">
              <w:trPr>
                <w:trHeight w:val="394"/>
                <w:jc w:val="center"/>
              </w:trPr>
              <w:tc>
                <w:tcPr>
                  <w:tcW w:w="1560" w:type="dxa"/>
                  <w:tcBorders>
                    <w:top w:val="single" w:sz="8" w:space="0" w:color="auto"/>
                    <w:left w:val="single" w:sz="8"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姓名</w:t>
                  </w:r>
                </w:p>
              </w:tc>
              <w:tc>
                <w:tcPr>
                  <w:tcW w:w="992" w:type="dxa"/>
                  <w:tcBorders>
                    <w:top w:val="single" w:sz="8" w:space="0" w:color="auto"/>
                    <w:left w:val="single" w:sz="6" w:space="0" w:color="auto"/>
                    <w:bottom w:val="single" w:sz="6" w:space="0" w:color="auto"/>
                    <w:right w:val="single" w:sz="4"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孔卫东</w:t>
                  </w:r>
                </w:p>
              </w:tc>
              <w:tc>
                <w:tcPr>
                  <w:tcW w:w="709" w:type="dxa"/>
                  <w:tcBorders>
                    <w:top w:val="single" w:sz="8" w:space="0" w:color="auto"/>
                    <w:left w:val="single" w:sz="4"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排名</w:t>
                  </w:r>
                </w:p>
              </w:tc>
              <w:tc>
                <w:tcPr>
                  <w:tcW w:w="709" w:type="dxa"/>
                  <w:tcBorders>
                    <w:top w:val="single" w:sz="8"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hAnsi="宋体"/>
                      <w:sz w:val="24"/>
                      <w:szCs w:val="24"/>
                    </w:rPr>
                  </w:pPr>
                  <w:r>
                    <w:rPr>
                      <w:rFonts w:ascii="宋体" w:hAnsi="宋体"/>
                      <w:sz w:val="24"/>
                      <w:szCs w:val="24"/>
                    </w:rPr>
                    <w:t>1</w:t>
                  </w:r>
                </w:p>
              </w:tc>
              <w:tc>
                <w:tcPr>
                  <w:tcW w:w="1134" w:type="dxa"/>
                  <w:tcBorders>
                    <w:top w:val="single" w:sz="8"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性别</w:t>
                  </w:r>
                </w:p>
              </w:tc>
              <w:tc>
                <w:tcPr>
                  <w:tcW w:w="1020" w:type="dxa"/>
                  <w:tcBorders>
                    <w:top w:val="single" w:sz="8"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男</w:t>
                  </w:r>
                </w:p>
              </w:tc>
              <w:tc>
                <w:tcPr>
                  <w:tcW w:w="1389" w:type="dxa"/>
                  <w:tcBorders>
                    <w:top w:val="single" w:sz="8"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国籍</w:t>
                  </w:r>
                </w:p>
              </w:tc>
              <w:tc>
                <w:tcPr>
                  <w:tcW w:w="1560" w:type="dxa"/>
                  <w:tcBorders>
                    <w:top w:val="single" w:sz="8" w:space="0" w:color="auto"/>
                    <w:left w:val="single" w:sz="6" w:space="0" w:color="auto"/>
                    <w:bottom w:val="single" w:sz="6" w:space="0" w:color="auto"/>
                    <w:right w:val="single" w:sz="8"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中国</w:t>
                  </w:r>
                </w:p>
              </w:tc>
            </w:tr>
            <w:tr w:rsidR="004C7165">
              <w:trPr>
                <w:trHeight w:val="480"/>
                <w:jc w:val="center"/>
              </w:trPr>
              <w:tc>
                <w:tcPr>
                  <w:tcW w:w="1560" w:type="dxa"/>
                  <w:tcBorders>
                    <w:top w:val="single" w:sz="6" w:space="0" w:color="auto"/>
                    <w:left w:val="single" w:sz="8" w:space="0" w:color="auto"/>
                    <w:bottom w:val="single" w:sz="6" w:space="0" w:color="auto"/>
                    <w:right w:val="single" w:sz="6" w:space="0" w:color="auto"/>
                  </w:tcBorders>
                  <w:vAlign w:val="center"/>
                </w:tcPr>
                <w:p w:rsidR="004C7165" w:rsidRDefault="0039699D">
                  <w:pPr>
                    <w:adjustRightInd w:val="0"/>
                    <w:snapToGrid w:val="0"/>
                    <w:spacing w:line="360" w:lineRule="auto"/>
                    <w:jc w:val="right"/>
                    <w:rPr>
                      <w:rFonts w:ascii="宋体"/>
                      <w:sz w:val="24"/>
                      <w:szCs w:val="24"/>
                    </w:rPr>
                  </w:pPr>
                  <w:r>
                    <w:rPr>
                      <w:rFonts w:ascii="宋体" w:hAnsi="宋体" w:hint="eastAsia"/>
                      <w:sz w:val="24"/>
                      <w:szCs w:val="24"/>
                    </w:rPr>
                    <w:t>身份证号</w:t>
                  </w:r>
                </w:p>
                <w:p w:rsidR="004C7165" w:rsidRDefault="004C7165">
                  <w:pPr>
                    <w:adjustRightInd w:val="0"/>
                    <w:snapToGrid w:val="0"/>
                    <w:spacing w:line="360" w:lineRule="auto"/>
                    <w:jc w:val="left"/>
                    <w:rPr>
                      <w:rFonts w:ascii="宋体"/>
                      <w:sz w:val="24"/>
                      <w:szCs w:val="24"/>
                    </w:rPr>
                  </w:pPr>
                </w:p>
                <w:p w:rsidR="004C7165" w:rsidRDefault="004C7165">
                  <w:pPr>
                    <w:adjustRightInd w:val="0"/>
                    <w:snapToGrid w:val="0"/>
                    <w:spacing w:line="360" w:lineRule="auto"/>
                    <w:jc w:val="left"/>
                    <w:rPr>
                      <w:rFonts w:ascii="宋体"/>
                      <w:sz w:val="24"/>
                      <w:szCs w:val="24"/>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C7165" w:rsidRDefault="004C7165">
                  <w:pPr>
                    <w:adjustRightInd w:val="0"/>
                    <w:snapToGrid w:val="0"/>
                    <w:spacing w:line="360" w:lineRule="auto"/>
                    <w:jc w:val="left"/>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出生年月</w:t>
                  </w:r>
                </w:p>
              </w:tc>
              <w:tc>
                <w:tcPr>
                  <w:tcW w:w="1020"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hAnsi="宋体"/>
                      <w:sz w:val="24"/>
                      <w:szCs w:val="24"/>
                    </w:rPr>
                  </w:pPr>
                  <w:r>
                    <w:rPr>
                      <w:rFonts w:ascii="宋体" w:hAnsi="宋体"/>
                      <w:sz w:val="24"/>
                      <w:szCs w:val="24"/>
                    </w:rPr>
                    <w:t>1965/5</w:t>
                  </w:r>
                </w:p>
              </w:tc>
              <w:tc>
                <w:tcPr>
                  <w:tcW w:w="1389"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职称</w:t>
                  </w:r>
                </w:p>
              </w:tc>
              <w:tc>
                <w:tcPr>
                  <w:tcW w:w="1560" w:type="dxa"/>
                  <w:tcBorders>
                    <w:top w:val="single" w:sz="6" w:space="0" w:color="auto"/>
                    <w:left w:val="single" w:sz="6" w:space="0" w:color="auto"/>
                    <w:bottom w:val="single" w:sz="6" w:space="0" w:color="auto"/>
                    <w:right w:val="single" w:sz="8"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主任医师</w:t>
                  </w:r>
                </w:p>
              </w:tc>
            </w:tr>
            <w:tr w:rsidR="004C7165">
              <w:trPr>
                <w:trHeight w:val="487"/>
                <w:jc w:val="center"/>
              </w:trPr>
              <w:tc>
                <w:tcPr>
                  <w:tcW w:w="1560" w:type="dxa"/>
                  <w:tcBorders>
                    <w:top w:val="single" w:sz="6" w:space="0" w:color="auto"/>
                    <w:left w:val="single" w:sz="8"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本科</w:t>
                  </w:r>
                </w:p>
                <w:p w:rsidR="004C7165" w:rsidRDefault="0039699D">
                  <w:pPr>
                    <w:adjustRightInd w:val="0"/>
                    <w:snapToGrid w:val="0"/>
                    <w:spacing w:line="360" w:lineRule="auto"/>
                    <w:jc w:val="left"/>
                    <w:rPr>
                      <w:rFonts w:ascii="宋体"/>
                      <w:sz w:val="24"/>
                      <w:szCs w:val="24"/>
                    </w:rPr>
                  </w:pPr>
                  <w:r>
                    <w:rPr>
                      <w:rFonts w:ascii="宋体" w:hAnsi="宋体" w:hint="eastAsia"/>
                      <w:sz w:val="24"/>
                      <w:szCs w:val="24"/>
                    </w:rPr>
                    <w:t>毕业学校</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暨南大学</w:t>
                  </w:r>
                </w:p>
              </w:tc>
              <w:tc>
                <w:tcPr>
                  <w:tcW w:w="1134"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最高学位</w:t>
                  </w:r>
                </w:p>
              </w:tc>
              <w:tc>
                <w:tcPr>
                  <w:tcW w:w="1020"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博士</w:t>
                  </w:r>
                </w:p>
              </w:tc>
              <w:tc>
                <w:tcPr>
                  <w:tcW w:w="1389"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最高学历</w:t>
                  </w:r>
                </w:p>
              </w:tc>
              <w:tc>
                <w:tcPr>
                  <w:tcW w:w="1560" w:type="dxa"/>
                  <w:tcBorders>
                    <w:top w:val="single" w:sz="6" w:space="0" w:color="auto"/>
                    <w:left w:val="single" w:sz="6" w:space="0" w:color="auto"/>
                    <w:bottom w:val="single" w:sz="6" w:space="0" w:color="auto"/>
                    <w:right w:val="single" w:sz="8"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博士研究生</w:t>
                  </w:r>
                </w:p>
              </w:tc>
            </w:tr>
            <w:tr w:rsidR="004C7165">
              <w:trPr>
                <w:trHeight w:val="480"/>
                <w:jc w:val="center"/>
              </w:trPr>
              <w:tc>
                <w:tcPr>
                  <w:tcW w:w="1560" w:type="dxa"/>
                  <w:tcBorders>
                    <w:top w:val="single" w:sz="6" w:space="0" w:color="auto"/>
                    <w:left w:val="single" w:sz="8"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最高学位</w:t>
                  </w:r>
                </w:p>
                <w:p w:rsidR="004C7165" w:rsidRDefault="0039699D">
                  <w:pPr>
                    <w:adjustRightInd w:val="0"/>
                    <w:snapToGrid w:val="0"/>
                    <w:spacing w:line="360" w:lineRule="auto"/>
                    <w:jc w:val="left"/>
                    <w:rPr>
                      <w:rFonts w:ascii="宋体"/>
                      <w:sz w:val="24"/>
                      <w:szCs w:val="24"/>
                    </w:rPr>
                  </w:pPr>
                  <w:r>
                    <w:rPr>
                      <w:rFonts w:ascii="宋体" w:hAnsi="宋体" w:hint="eastAsia"/>
                      <w:sz w:val="24"/>
                      <w:szCs w:val="24"/>
                    </w:rPr>
                    <w:t>毕业学校</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暨南大学</w:t>
                  </w:r>
                </w:p>
              </w:tc>
              <w:tc>
                <w:tcPr>
                  <w:tcW w:w="1134"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从事专业学科代码</w:t>
                  </w:r>
                </w:p>
              </w:tc>
              <w:tc>
                <w:tcPr>
                  <w:tcW w:w="3969" w:type="dxa"/>
                  <w:gridSpan w:val="3"/>
                  <w:tcBorders>
                    <w:top w:val="single" w:sz="6" w:space="0" w:color="auto"/>
                    <w:left w:val="single" w:sz="6" w:space="0" w:color="auto"/>
                    <w:bottom w:val="single" w:sz="6" w:space="0" w:color="auto"/>
                    <w:right w:val="single" w:sz="8"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cs="宋体"/>
                      <w:kern w:val="0"/>
                      <w:sz w:val="24"/>
                      <w:szCs w:val="24"/>
                    </w:rPr>
                    <w:t>3204445</w:t>
                  </w:r>
                  <w:r>
                    <w:rPr>
                      <w:rFonts w:ascii="宋体" w:hAnsi="宋体" w:cs="宋体" w:hint="eastAsia"/>
                      <w:kern w:val="0"/>
                      <w:sz w:val="24"/>
                      <w:szCs w:val="24"/>
                    </w:rPr>
                    <w:t>口腔正畸学</w:t>
                  </w:r>
                </w:p>
              </w:tc>
            </w:tr>
            <w:tr w:rsidR="004C7165">
              <w:trPr>
                <w:trHeight w:val="480"/>
                <w:jc w:val="center"/>
              </w:trPr>
              <w:tc>
                <w:tcPr>
                  <w:tcW w:w="1560" w:type="dxa"/>
                  <w:tcBorders>
                    <w:top w:val="single" w:sz="6" w:space="0" w:color="auto"/>
                    <w:left w:val="single" w:sz="8"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工作单位</w:t>
                  </w:r>
                </w:p>
              </w:tc>
              <w:tc>
                <w:tcPr>
                  <w:tcW w:w="4564" w:type="dxa"/>
                  <w:gridSpan w:val="5"/>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暨南大学</w:t>
                  </w:r>
                  <w:r w:rsidR="006825A7">
                    <w:rPr>
                      <w:rFonts w:ascii="宋体" w:hAnsi="宋体" w:hint="eastAsia"/>
                      <w:sz w:val="24"/>
                      <w:szCs w:val="24"/>
                    </w:rPr>
                    <w:t>附属第一医院</w:t>
                  </w:r>
                </w:p>
              </w:tc>
              <w:tc>
                <w:tcPr>
                  <w:tcW w:w="1389" w:type="dxa"/>
                  <w:tcBorders>
                    <w:top w:val="single" w:sz="6" w:space="0" w:color="auto"/>
                    <w:left w:val="single" w:sz="6" w:space="0" w:color="auto"/>
                    <w:bottom w:val="single" w:sz="6" w:space="0" w:color="auto"/>
                    <w:right w:val="single" w:sz="6"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行政职务</w:t>
                  </w:r>
                </w:p>
              </w:tc>
              <w:tc>
                <w:tcPr>
                  <w:tcW w:w="1560" w:type="dxa"/>
                  <w:tcBorders>
                    <w:top w:val="single" w:sz="6" w:space="0" w:color="auto"/>
                    <w:left w:val="single" w:sz="6" w:space="0" w:color="auto"/>
                    <w:bottom w:val="single" w:sz="6" w:space="0" w:color="auto"/>
                    <w:right w:val="single" w:sz="8" w:space="0" w:color="auto"/>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正畸科主任</w:t>
                  </w:r>
                </w:p>
              </w:tc>
            </w:tr>
            <w:tr w:rsidR="004C7165">
              <w:trPr>
                <w:trHeight w:val="3921"/>
                <w:jc w:val="center"/>
              </w:trPr>
              <w:tc>
                <w:tcPr>
                  <w:tcW w:w="9073" w:type="dxa"/>
                  <w:gridSpan w:val="8"/>
                  <w:tcBorders>
                    <w:top w:val="single" w:sz="6" w:space="0" w:color="auto"/>
                    <w:left w:val="single" w:sz="8" w:space="0" w:color="auto"/>
                    <w:bottom w:val="single" w:sz="6" w:space="0" w:color="auto"/>
                    <w:right w:val="single" w:sz="8" w:space="0" w:color="auto"/>
                  </w:tcBorders>
                  <w:vAlign w:val="center"/>
                </w:tcPr>
                <w:p w:rsidR="004C7165" w:rsidRDefault="0039699D">
                  <w:pPr>
                    <w:adjustRightInd w:val="0"/>
                    <w:snapToGrid w:val="0"/>
                    <w:spacing w:line="360" w:lineRule="auto"/>
                    <w:rPr>
                      <w:rFonts w:ascii="宋体"/>
                      <w:sz w:val="24"/>
                      <w:szCs w:val="24"/>
                    </w:rPr>
                  </w:pP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4C7165" w:rsidRDefault="0039699D">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孔卫东：排名第一、主任医师、暨南大学第一临床医学院正畸科主任、是该项目主要发起人，是国内最早开展个性化舌侧隐形矫治专家之一，是</w:t>
                  </w:r>
                  <w:r>
                    <w:rPr>
                      <w:rFonts w:ascii="宋体" w:hAnsi="宋体" w:cs="宋体"/>
                      <w:kern w:val="0"/>
                      <w:sz w:val="24"/>
                      <w:szCs w:val="24"/>
                    </w:rPr>
                    <w:t>eBrace</w:t>
                  </w:r>
                </w:p>
                <w:p w:rsidR="004C7165" w:rsidRDefault="0039699D">
                  <w:pPr>
                    <w:adjustRightInd w:val="0"/>
                    <w:snapToGrid w:val="0"/>
                    <w:spacing w:line="360" w:lineRule="auto"/>
                    <w:rPr>
                      <w:rFonts w:ascii="宋体" w:cs="宋体"/>
                      <w:kern w:val="0"/>
                      <w:sz w:val="24"/>
                      <w:szCs w:val="24"/>
                    </w:rPr>
                  </w:pPr>
                  <w:r>
                    <w:rPr>
                      <w:rFonts w:ascii="宋体" w:hAnsi="宋体" w:cs="宋体" w:hint="eastAsia"/>
                      <w:kern w:val="0"/>
                      <w:sz w:val="24"/>
                      <w:szCs w:val="24"/>
                    </w:rPr>
                    <w:t>个性化舌侧矫治器的主要发明人，获得了多项国家发明及实用新型专利。在个性化</w:t>
                  </w:r>
                </w:p>
                <w:p w:rsidR="004C7165" w:rsidRDefault="0039699D">
                  <w:pPr>
                    <w:adjustRightInd w:val="0"/>
                    <w:snapToGrid w:val="0"/>
                    <w:spacing w:line="360" w:lineRule="auto"/>
                    <w:rPr>
                      <w:rFonts w:ascii="宋体" w:cs="宋体"/>
                      <w:kern w:val="0"/>
                      <w:sz w:val="24"/>
                      <w:szCs w:val="24"/>
                    </w:rPr>
                  </w:pPr>
                  <w:r>
                    <w:rPr>
                      <w:rFonts w:ascii="宋体" w:hAnsi="宋体" w:cs="宋体" w:hint="eastAsia"/>
                      <w:kern w:val="0"/>
                      <w:sz w:val="24"/>
                      <w:szCs w:val="24"/>
                    </w:rPr>
                    <w:t>矫治器的研究、成果转化、临床应用及产业化等方面作了许多开拓性工作，相关成</w:t>
                  </w:r>
                </w:p>
                <w:p w:rsidR="004C7165" w:rsidRDefault="0039699D">
                  <w:pPr>
                    <w:adjustRightInd w:val="0"/>
                    <w:snapToGrid w:val="0"/>
                    <w:spacing w:line="360" w:lineRule="auto"/>
                    <w:rPr>
                      <w:rFonts w:ascii="宋体" w:cs="宋体"/>
                      <w:kern w:val="0"/>
                      <w:sz w:val="24"/>
                      <w:szCs w:val="24"/>
                    </w:rPr>
                  </w:pPr>
                  <w:r>
                    <w:rPr>
                      <w:rFonts w:ascii="宋体" w:hAnsi="宋体" w:cs="宋体" w:hint="eastAsia"/>
                      <w:kern w:val="0"/>
                      <w:sz w:val="24"/>
                      <w:szCs w:val="24"/>
                    </w:rPr>
                    <w:t>果居国内领先水平。</w:t>
                  </w:r>
                </w:p>
                <w:p w:rsidR="004C7165" w:rsidRDefault="0039699D">
                  <w:pPr>
                    <w:adjustRightInd w:val="0"/>
                    <w:snapToGrid w:val="0"/>
                    <w:spacing w:line="360" w:lineRule="auto"/>
                    <w:rPr>
                      <w:rFonts w:ascii="宋体" w:cs="宋体"/>
                      <w:kern w:val="0"/>
                      <w:sz w:val="24"/>
                      <w:szCs w:val="24"/>
                    </w:rPr>
                  </w:pPr>
                  <w:r>
                    <w:rPr>
                      <w:rFonts w:ascii="宋体" w:hAnsi="宋体" w:cs="宋体" w:hint="eastAsia"/>
                      <w:kern w:val="0"/>
                      <w:sz w:val="24"/>
                      <w:szCs w:val="24"/>
                    </w:rPr>
                    <w:t>李祖安：排名第二、工程师、广州瑞通生物科技有限公司技术总监、是该项目的主要负责人，管理生产、质控等事务。</w:t>
                  </w:r>
                </w:p>
                <w:p w:rsidR="004C7165" w:rsidRDefault="0039699D">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杨永强：排名第三、教授、华南理工大学、是该项目主要发起人，是</w:t>
                  </w:r>
                  <w:r>
                    <w:rPr>
                      <w:rFonts w:ascii="宋体" w:hAnsi="宋体" w:cs="宋体"/>
                      <w:kern w:val="0"/>
                      <w:sz w:val="24"/>
                      <w:szCs w:val="24"/>
                    </w:rPr>
                    <w:t>eBrace</w:t>
                  </w:r>
                </w:p>
                <w:p w:rsidR="004C7165" w:rsidRDefault="0039699D">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个性化舌侧矫治器的主要发明人，获得了多项国家发明及实用新型专利。</w:t>
                  </w:r>
                </w:p>
                <w:p w:rsidR="004C7165" w:rsidRDefault="0039699D">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王红卫：排名第四</w:t>
                  </w:r>
                  <w:bookmarkStart w:id="0" w:name="_GoBack"/>
                  <w:bookmarkEnd w:id="0"/>
                  <w:r>
                    <w:rPr>
                      <w:rFonts w:ascii="宋体" w:hAnsi="宋体" w:cs="宋体" w:hint="eastAsia"/>
                      <w:kern w:val="0"/>
                      <w:sz w:val="24"/>
                      <w:szCs w:val="24"/>
                    </w:rPr>
                    <w:t>、高级工程师、广州瑞通生物科技有限公司董事长、是该项目</w:t>
                  </w:r>
                </w:p>
                <w:p w:rsidR="004C7165" w:rsidRDefault="0039699D">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主要负责人，全面负责瑞通公司事务，分管人事、财务及销售。</w:t>
                  </w:r>
                </w:p>
                <w:p w:rsidR="004C7165" w:rsidRDefault="0039699D">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黄伟红：排名第五、高级工程师、广州瑞通生物科技有限公司总经理、是该项目主要</w:t>
                  </w:r>
                  <w:r>
                    <w:rPr>
                      <w:rFonts w:ascii="宋体" w:hAnsi="宋体" w:cs="宋体" w:hint="eastAsia"/>
                      <w:kern w:val="0"/>
                      <w:sz w:val="24"/>
                      <w:szCs w:val="24"/>
                    </w:rPr>
                    <w:lastRenderedPageBreak/>
                    <w:t>负责人，分管生产、行政管理。</w:t>
                  </w:r>
                </w:p>
                <w:p w:rsidR="004C7165" w:rsidRDefault="0039699D">
                  <w:pPr>
                    <w:adjustRightInd w:val="0"/>
                    <w:snapToGrid w:val="0"/>
                    <w:spacing w:line="360" w:lineRule="auto"/>
                    <w:ind w:left="240" w:hangingChars="100" w:hanging="240"/>
                    <w:rPr>
                      <w:rFonts w:ascii="宋体" w:cs="宋体"/>
                      <w:kern w:val="0"/>
                      <w:sz w:val="24"/>
                      <w:szCs w:val="24"/>
                    </w:rPr>
                  </w:pPr>
                  <w:r>
                    <w:rPr>
                      <w:rFonts w:ascii="宋体" w:hAnsi="宋体" w:cs="宋体" w:hint="eastAsia"/>
                      <w:kern w:val="0"/>
                      <w:sz w:val="24"/>
                      <w:szCs w:val="24"/>
                    </w:rPr>
                    <w:t>张武：排名第六、副主任医师、暨南大学第一临床医学院正畸科、负责项目的部分科研工作，是临床试验的主要参与者。</w:t>
                  </w:r>
                </w:p>
                <w:p w:rsidR="004C7165" w:rsidRDefault="0039699D">
                  <w:pPr>
                    <w:adjustRightInd w:val="0"/>
                    <w:snapToGrid w:val="0"/>
                    <w:spacing w:line="360" w:lineRule="auto"/>
                    <w:ind w:left="240" w:hangingChars="100" w:hanging="240"/>
                    <w:rPr>
                      <w:rFonts w:ascii="宋体" w:cs="宋体"/>
                      <w:kern w:val="0"/>
                      <w:sz w:val="24"/>
                      <w:szCs w:val="24"/>
                    </w:rPr>
                  </w:pPr>
                  <w:r>
                    <w:rPr>
                      <w:rFonts w:ascii="宋体" w:hAnsi="宋体" w:cs="宋体" w:hint="eastAsia"/>
                      <w:kern w:val="0"/>
                      <w:sz w:val="24"/>
                      <w:szCs w:val="24"/>
                    </w:rPr>
                    <w:t>孔德明：排名第七、助理工程师、广州瑞通生物科技有限公司、负责个性化舌侧矫治器的设计与部分生物力学分析。</w:t>
                  </w:r>
                </w:p>
                <w:p w:rsidR="008B0336" w:rsidRDefault="008B0336">
                  <w:pPr>
                    <w:adjustRightInd w:val="0"/>
                    <w:snapToGrid w:val="0"/>
                    <w:spacing w:line="360" w:lineRule="auto"/>
                    <w:ind w:left="240" w:hangingChars="100" w:hanging="240"/>
                    <w:rPr>
                      <w:rFonts w:ascii="宋体" w:hAnsi="宋体" w:cs="宋体"/>
                      <w:kern w:val="0"/>
                      <w:sz w:val="24"/>
                      <w:szCs w:val="24"/>
                    </w:rPr>
                  </w:pPr>
                  <w:r>
                    <w:rPr>
                      <w:rFonts w:ascii="宋体" w:hAnsi="宋体" w:cs="宋体" w:hint="eastAsia"/>
                      <w:kern w:val="0"/>
                      <w:sz w:val="24"/>
                      <w:szCs w:val="24"/>
                    </w:rPr>
                    <w:t>徐浩：排名第八、主任医师、教授、暨大附属第一医院影像科、负责个性化舌侧矫治器临床试验的影像学评估</w:t>
                  </w:r>
                </w:p>
                <w:p w:rsidR="004C7165" w:rsidRDefault="008B0336">
                  <w:pPr>
                    <w:adjustRightInd w:val="0"/>
                    <w:snapToGrid w:val="0"/>
                    <w:spacing w:line="360" w:lineRule="auto"/>
                    <w:ind w:left="240" w:hangingChars="100" w:hanging="240"/>
                    <w:rPr>
                      <w:rFonts w:ascii="宋体" w:cs="宋体"/>
                      <w:kern w:val="0"/>
                      <w:sz w:val="24"/>
                      <w:szCs w:val="24"/>
                    </w:rPr>
                  </w:pPr>
                  <w:r>
                    <w:rPr>
                      <w:rFonts w:ascii="宋体" w:hAnsi="宋体" w:cs="宋体" w:hint="eastAsia"/>
                      <w:kern w:val="0"/>
                      <w:sz w:val="24"/>
                      <w:szCs w:val="24"/>
                    </w:rPr>
                    <w:t>李舒舒：排名第九</w:t>
                  </w:r>
                  <w:r w:rsidR="0039699D">
                    <w:rPr>
                      <w:rFonts w:ascii="宋体" w:hAnsi="宋体" w:cs="宋体" w:hint="eastAsia"/>
                      <w:kern w:val="0"/>
                      <w:sz w:val="24"/>
                      <w:szCs w:val="24"/>
                    </w:rPr>
                    <w:t>、住院医师、暨南大学第一临床医学院、负责个性化舌侧矫治器的设计及临床试验。</w:t>
                  </w:r>
                </w:p>
                <w:p w:rsidR="004C7165" w:rsidRDefault="008B0336">
                  <w:pPr>
                    <w:adjustRightInd w:val="0"/>
                    <w:snapToGrid w:val="0"/>
                    <w:spacing w:line="360" w:lineRule="auto"/>
                    <w:ind w:left="240" w:hangingChars="100" w:hanging="240"/>
                    <w:rPr>
                      <w:rFonts w:ascii="宋体" w:cs="宋体"/>
                      <w:kern w:val="0"/>
                      <w:sz w:val="24"/>
                      <w:szCs w:val="24"/>
                    </w:rPr>
                  </w:pPr>
                  <w:r>
                    <w:rPr>
                      <w:rFonts w:ascii="宋体" w:hAnsi="宋体" w:cs="宋体" w:hint="eastAsia"/>
                      <w:kern w:val="0"/>
                      <w:sz w:val="24"/>
                      <w:szCs w:val="24"/>
                    </w:rPr>
                    <w:t>林巍：排名第十</w:t>
                  </w:r>
                  <w:r w:rsidR="0039699D">
                    <w:rPr>
                      <w:rFonts w:ascii="宋体" w:hAnsi="宋体" w:cs="宋体" w:hint="eastAsia"/>
                      <w:kern w:val="0"/>
                      <w:sz w:val="24"/>
                      <w:szCs w:val="24"/>
                    </w:rPr>
                    <w:t>、广州瑞通生物科技有限公司、医疗技术顾问</w:t>
                  </w:r>
                </w:p>
              </w:tc>
            </w:tr>
          </w:tbl>
          <w:p w:rsidR="004C7165" w:rsidRDefault="004C7165">
            <w:pPr>
              <w:spacing w:line="360" w:lineRule="auto"/>
              <w:jc w:val="left"/>
              <w:rPr>
                <w:rFonts w:ascii="宋体"/>
                <w:sz w:val="24"/>
                <w:szCs w:val="24"/>
              </w:rPr>
            </w:pPr>
          </w:p>
        </w:tc>
      </w:tr>
      <w:tr w:rsidR="004C7165">
        <w:trPr>
          <w:trHeight w:val="5234"/>
        </w:trPr>
        <w:tc>
          <w:tcPr>
            <w:tcW w:w="560" w:type="dxa"/>
          </w:tcPr>
          <w:p w:rsidR="004C7165" w:rsidRDefault="0039699D">
            <w:pPr>
              <w:spacing w:line="360" w:lineRule="auto"/>
              <w:jc w:val="left"/>
              <w:rPr>
                <w:sz w:val="24"/>
                <w:szCs w:val="24"/>
              </w:rPr>
            </w:pPr>
            <w:r>
              <w:rPr>
                <w:rFonts w:ascii="仿宋" w:eastAsia="仿宋" w:hAnsi="仿宋"/>
                <w:spacing w:val="2"/>
                <w:sz w:val="24"/>
                <w:szCs w:val="24"/>
              </w:rPr>
              <w:lastRenderedPageBreak/>
              <w:t>11</w:t>
            </w:r>
            <w:r>
              <w:rPr>
                <w:rFonts w:ascii="仿宋" w:eastAsia="仿宋" w:hAnsi="仿宋" w:hint="eastAsia"/>
                <w:spacing w:val="2"/>
                <w:sz w:val="24"/>
                <w:szCs w:val="24"/>
              </w:rPr>
              <w:t>完成单位情况</w:t>
            </w:r>
          </w:p>
        </w:tc>
        <w:tc>
          <w:tcPr>
            <w:tcW w:w="8797" w:type="dxa"/>
          </w:tcPr>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4"/>
              <w:gridCol w:w="4500"/>
              <w:gridCol w:w="113"/>
              <w:gridCol w:w="1133"/>
              <w:gridCol w:w="14"/>
              <w:gridCol w:w="1689"/>
            </w:tblGrid>
            <w:tr w:rsidR="004C7165">
              <w:trPr>
                <w:trHeight w:val="448"/>
                <w:jc w:val="center"/>
              </w:trPr>
              <w:tc>
                <w:tcPr>
                  <w:tcW w:w="1624"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ind w:firstLineChars="100" w:firstLine="240"/>
                    <w:jc w:val="left"/>
                    <w:rPr>
                      <w:rFonts w:ascii="宋体"/>
                      <w:sz w:val="24"/>
                      <w:szCs w:val="24"/>
                    </w:rPr>
                  </w:pPr>
                  <w:r>
                    <w:rPr>
                      <w:rFonts w:ascii="宋体" w:hAnsi="宋体" w:hint="eastAsia"/>
                      <w:sz w:val="24"/>
                      <w:szCs w:val="24"/>
                    </w:rPr>
                    <w:t>单位名称</w:t>
                  </w:r>
                </w:p>
              </w:tc>
              <w:tc>
                <w:tcPr>
                  <w:tcW w:w="4613" w:type="dxa"/>
                  <w:gridSpan w:val="2"/>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暨南大学</w:t>
                  </w:r>
                </w:p>
              </w:tc>
              <w:tc>
                <w:tcPr>
                  <w:tcW w:w="1133"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序号</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sz w:val="24"/>
                      <w:szCs w:val="24"/>
                    </w:rPr>
                    <w:t>1</w:t>
                  </w:r>
                </w:p>
              </w:tc>
            </w:tr>
            <w:tr w:rsidR="004C7165">
              <w:trPr>
                <w:trHeight w:val="448"/>
                <w:jc w:val="center"/>
              </w:trPr>
              <w:tc>
                <w:tcPr>
                  <w:tcW w:w="9073" w:type="dxa"/>
                  <w:gridSpan w:val="6"/>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4C7165" w:rsidRDefault="0039699D">
                  <w:pPr>
                    <w:adjustRightInd w:val="0"/>
                    <w:snapToGrid w:val="0"/>
                    <w:spacing w:line="360" w:lineRule="auto"/>
                    <w:jc w:val="left"/>
                    <w:rPr>
                      <w:rFonts w:ascii="宋体"/>
                      <w:sz w:val="24"/>
                      <w:szCs w:val="24"/>
                    </w:rPr>
                  </w:pPr>
                  <w:r>
                    <w:rPr>
                      <w:rFonts w:ascii="宋体" w:hint="eastAsia"/>
                      <w:sz w:val="24"/>
                      <w:szCs w:val="24"/>
                    </w:rPr>
                    <w:t xml:space="preserve"> 本单位主要负责项目的前期研究、实验及临床数据的收集、临床试验、提出反馈意见、实验报告及论文撰写等，共同完成产学研工作。</w:t>
                  </w:r>
                </w:p>
                <w:p w:rsidR="004C7165" w:rsidRDefault="004C7165">
                  <w:pPr>
                    <w:adjustRightInd w:val="0"/>
                    <w:snapToGrid w:val="0"/>
                    <w:spacing w:line="360" w:lineRule="auto"/>
                    <w:jc w:val="left"/>
                    <w:rPr>
                      <w:rFonts w:ascii="宋体"/>
                      <w:sz w:val="24"/>
                      <w:szCs w:val="24"/>
                    </w:rPr>
                  </w:pPr>
                </w:p>
              </w:tc>
            </w:tr>
            <w:tr w:rsidR="004C7165">
              <w:trPr>
                <w:trHeight w:val="448"/>
                <w:jc w:val="center"/>
              </w:trPr>
              <w:tc>
                <w:tcPr>
                  <w:tcW w:w="1624"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center"/>
                    <w:rPr>
                      <w:rFonts w:ascii="宋体"/>
                      <w:sz w:val="24"/>
                      <w:szCs w:val="24"/>
                    </w:rPr>
                  </w:pPr>
                  <w:r>
                    <w:rPr>
                      <w:rFonts w:ascii="宋体" w:hAnsi="宋体" w:hint="eastAsia"/>
                      <w:sz w:val="24"/>
                      <w:szCs w:val="24"/>
                    </w:rPr>
                    <w:t>单位名称</w:t>
                  </w:r>
                </w:p>
              </w:tc>
              <w:tc>
                <w:tcPr>
                  <w:tcW w:w="4500"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广州瑞通生物科技有限公司</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序号</w:t>
                  </w:r>
                </w:p>
              </w:tc>
              <w:tc>
                <w:tcPr>
                  <w:tcW w:w="1689"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sz w:val="24"/>
                      <w:szCs w:val="24"/>
                    </w:rPr>
                    <w:t>2</w:t>
                  </w:r>
                </w:p>
              </w:tc>
            </w:tr>
            <w:tr w:rsidR="004C7165">
              <w:trPr>
                <w:trHeight w:val="1844"/>
                <w:jc w:val="center"/>
              </w:trPr>
              <w:tc>
                <w:tcPr>
                  <w:tcW w:w="9073" w:type="dxa"/>
                  <w:gridSpan w:val="6"/>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4C7165" w:rsidRDefault="0039699D">
                  <w:pPr>
                    <w:adjustRightInd w:val="0"/>
                    <w:snapToGrid w:val="0"/>
                    <w:spacing w:line="360" w:lineRule="auto"/>
                    <w:jc w:val="left"/>
                    <w:rPr>
                      <w:rFonts w:ascii="宋体"/>
                      <w:sz w:val="24"/>
                      <w:szCs w:val="24"/>
                    </w:rPr>
                  </w:pPr>
                  <w:r>
                    <w:rPr>
                      <w:rFonts w:ascii="宋体" w:hint="eastAsia"/>
                      <w:sz w:val="24"/>
                      <w:szCs w:val="24"/>
                    </w:rPr>
                    <w:t xml:space="preserve"> 本单位主要负责产品的医学转化工作，包括产品的设计制作，生产与销售等，共同完成产学研工作。</w:t>
                  </w:r>
                </w:p>
                <w:p w:rsidR="004C7165" w:rsidRDefault="004C7165">
                  <w:pPr>
                    <w:adjustRightInd w:val="0"/>
                    <w:snapToGrid w:val="0"/>
                    <w:spacing w:line="360" w:lineRule="auto"/>
                    <w:jc w:val="left"/>
                    <w:rPr>
                      <w:rFonts w:ascii="宋体"/>
                      <w:sz w:val="24"/>
                      <w:szCs w:val="24"/>
                    </w:rPr>
                  </w:pPr>
                </w:p>
              </w:tc>
            </w:tr>
            <w:tr w:rsidR="004C7165">
              <w:trPr>
                <w:trHeight w:val="448"/>
                <w:jc w:val="center"/>
              </w:trPr>
              <w:tc>
                <w:tcPr>
                  <w:tcW w:w="1624"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center"/>
                    <w:rPr>
                      <w:rFonts w:ascii="宋体"/>
                      <w:sz w:val="24"/>
                      <w:szCs w:val="24"/>
                    </w:rPr>
                  </w:pPr>
                  <w:r>
                    <w:rPr>
                      <w:rFonts w:ascii="宋体" w:hAnsi="宋体" w:hint="eastAsia"/>
                      <w:sz w:val="24"/>
                      <w:szCs w:val="24"/>
                    </w:rPr>
                    <w:t>单位名称</w:t>
                  </w:r>
                </w:p>
              </w:tc>
              <w:tc>
                <w:tcPr>
                  <w:tcW w:w="4500"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华南理工大学</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序号</w:t>
                  </w:r>
                </w:p>
              </w:tc>
              <w:tc>
                <w:tcPr>
                  <w:tcW w:w="1689" w:type="dxa"/>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3</w:t>
                  </w:r>
                </w:p>
              </w:tc>
            </w:tr>
            <w:tr w:rsidR="004C7165">
              <w:trPr>
                <w:trHeight w:val="448"/>
                <w:jc w:val="center"/>
              </w:trPr>
              <w:tc>
                <w:tcPr>
                  <w:tcW w:w="9073" w:type="dxa"/>
                  <w:gridSpan w:val="6"/>
                  <w:tcBorders>
                    <w:top w:val="single" w:sz="4" w:space="0" w:color="000000"/>
                    <w:left w:val="single" w:sz="4" w:space="0" w:color="000000"/>
                    <w:bottom w:val="single" w:sz="4" w:space="0" w:color="000000"/>
                    <w:right w:val="single" w:sz="4" w:space="0" w:color="000000"/>
                  </w:tcBorders>
                  <w:vAlign w:val="center"/>
                </w:tcPr>
                <w:p w:rsidR="004C7165" w:rsidRDefault="0039699D">
                  <w:pPr>
                    <w:adjustRightInd w:val="0"/>
                    <w:snapToGrid w:val="0"/>
                    <w:spacing w:line="360" w:lineRule="auto"/>
                    <w:jc w:val="left"/>
                    <w:rPr>
                      <w:rFonts w:ascii="宋体"/>
                      <w:sz w:val="24"/>
                      <w:szCs w:val="24"/>
                    </w:rPr>
                  </w:pP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4C7165" w:rsidRDefault="0039699D">
                  <w:pPr>
                    <w:adjustRightInd w:val="0"/>
                    <w:snapToGrid w:val="0"/>
                    <w:spacing w:line="360" w:lineRule="auto"/>
                    <w:jc w:val="left"/>
                    <w:rPr>
                      <w:rFonts w:ascii="宋体"/>
                      <w:sz w:val="24"/>
                      <w:szCs w:val="24"/>
                    </w:rPr>
                  </w:pPr>
                  <w:r>
                    <w:rPr>
                      <w:rFonts w:ascii="宋体" w:hint="eastAsia"/>
                      <w:sz w:val="24"/>
                      <w:szCs w:val="24"/>
                    </w:rPr>
                    <w:t>本单位主要负责项目的前期研究、实验及临床数据的收集、生产工艺改进、设备改造、实验报告及论文撰写等，共同完成产学研工作。</w:t>
                  </w:r>
                </w:p>
                <w:p w:rsidR="004C7165" w:rsidRDefault="004C7165">
                  <w:pPr>
                    <w:adjustRightInd w:val="0"/>
                    <w:snapToGrid w:val="0"/>
                    <w:spacing w:line="360" w:lineRule="auto"/>
                    <w:jc w:val="left"/>
                    <w:rPr>
                      <w:rFonts w:ascii="宋体"/>
                      <w:sz w:val="24"/>
                      <w:szCs w:val="24"/>
                    </w:rPr>
                  </w:pPr>
                </w:p>
                <w:p w:rsidR="004C7165" w:rsidRDefault="004C7165">
                  <w:pPr>
                    <w:adjustRightInd w:val="0"/>
                    <w:snapToGrid w:val="0"/>
                    <w:spacing w:line="360" w:lineRule="auto"/>
                    <w:jc w:val="left"/>
                    <w:rPr>
                      <w:rFonts w:ascii="宋体"/>
                      <w:sz w:val="24"/>
                      <w:szCs w:val="24"/>
                    </w:rPr>
                  </w:pPr>
                </w:p>
              </w:tc>
            </w:tr>
          </w:tbl>
          <w:p w:rsidR="004C7165" w:rsidRDefault="004C7165">
            <w:pPr>
              <w:spacing w:line="360" w:lineRule="auto"/>
              <w:jc w:val="left"/>
              <w:rPr>
                <w:rFonts w:ascii="宋体"/>
                <w:sz w:val="24"/>
                <w:szCs w:val="24"/>
              </w:rPr>
            </w:pPr>
          </w:p>
        </w:tc>
      </w:tr>
    </w:tbl>
    <w:p w:rsidR="004C7165" w:rsidRDefault="004C7165">
      <w:pPr>
        <w:spacing w:line="360" w:lineRule="auto"/>
        <w:jc w:val="left"/>
      </w:pPr>
    </w:p>
    <w:sectPr w:rsidR="004C7165" w:rsidSect="004C7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CE" w:rsidRDefault="003674CE" w:rsidP="008B0336">
      <w:r>
        <w:separator/>
      </w:r>
    </w:p>
  </w:endnote>
  <w:endnote w:type="continuationSeparator" w:id="1">
    <w:p w:rsidR="003674CE" w:rsidRDefault="003674CE" w:rsidP="008B0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yriad Pro">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FZSSK--GBK1-0">
    <w:altName w:val="宋体"/>
    <w:charset w:val="86"/>
    <w:family w:val="auto"/>
    <w:pitch w:val="default"/>
    <w:sig w:usb0="00000000" w:usb1="00000000" w:usb2="00000010" w:usb3="00000000" w:csb0="00040000" w:csb1="00000000"/>
  </w:font>
  <w:font w:name="FZHTK--GBK1-0">
    <w:altName w:val="宋体"/>
    <w:charset w:val="86"/>
    <w:family w:val="auto"/>
    <w:pitch w:val="default"/>
    <w:sig w:usb0="00000000" w:usb1="00000000" w:usb2="00000010" w:usb3="00000000" w:csb0="00040000" w:csb1="00000000"/>
  </w:font>
  <w:font w:name="AdvOT596495f2">
    <w:altName w:val="Times New Roman"/>
    <w:charset w:val="00"/>
    <w:family w:val="roman"/>
    <w:pitch w:val="default"/>
    <w:sig w:usb0="00000000"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HelveticaNeueLTStd-LtIt">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CE" w:rsidRDefault="003674CE" w:rsidP="008B0336">
      <w:r>
        <w:separator/>
      </w:r>
    </w:p>
  </w:footnote>
  <w:footnote w:type="continuationSeparator" w:id="1">
    <w:p w:rsidR="003674CE" w:rsidRDefault="003674CE" w:rsidP="008B0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8FF"/>
    <w:rsid w:val="000818AB"/>
    <w:rsid w:val="00082E5A"/>
    <w:rsid w:val="00122EED"/>
    <w:rsid w:val="00144440"/>
    <w:rsid w:val="00184112"/>
    <w:rsid w:val="001A1255"/>
    <w:rsid w:val="00265D50"/>
    <w:rsid w:val="002F4FC3"/>
    <w:rsid w:val="003049FA"/>
    <w:rsid w:val="00344B0F"/>
    <w:rsid w:val="003674CE"/>
    <w:rsid w:val="0039699D"/>
    <w:rsid w:val="003B63C7"/>
    <w:rsid w:val="003D4DCA"/>
    <w:rsid w:val="004A44D9"/>
    <w:rsid w:val="004C7165"/>
    <w:rsid w:val="005364E1"/>
    <w:rsid w:val="006238FF"/>
    <w:rsid w:val="00640A5B"/>
    <w:rsid w:val="006825A7"/>
    <w:rsid w:val="00692AE6"/>
    <w:rsid w:val="007429C6"/>
    <w:rsid w:val="0075204D"/>
    <w:rsid w:val="00897F79"/>
    <w:rsid w:val="008B0336"/>
    <w:rsid w:val="008E5F09"/>
    <w:rsid w:val="008F1959"/>
    <w:rsid w:val="0098101C"/>
    <w:rsid w:val="009E4E05"/>
    <w:rsid w:val="00B97292"/>
    <w:rsid w:val="00BD66EF"/>
    <w:rsid w:val="00C51932"/>
    <w:rsid w:val="00D2695A"/>
    <w:rsid w:val="00E93FAB"/>
    <w:rsid w:val="00EC539A"/>
    <w:rsid w:val="00F2003C"/>
    <w:rsid w:val="09FD4268"/>
    <w:rsid w:val="0A1C14F9"/>
    <w:rsid w:val="0CAB4EC2"/>
    <w:rsid w:val="0ECA1C63"/>
    <w:rsid w:val="213D5130"/>
    <w:rsid w:val="248068CA"/>
    <w:rsid w:val="40214125"/>
    <w:rsid w:val="7C0212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4C7165"/>
    <w:pPr>
      <w:tabs>
        <w:tab w:val="center" w:pos="4153"/>
        <w:tab w:val="right" w:pos="8306"/>
      </w:tabs>
      <w:snapToGrid w:val="0"/>
      <w:jc w:val="left"/>
    </w:pPr>
    <w:rPr>
      <w:sz w:val="18"/>
      <w:szCs w:val="18"/>
    </w:rPr>
  </w:style>
  <w:style w:type="paragraph" w:styleId="a4">
    <w:name w:val="header"/>
    <w:basedOn w:val="a"/>
    <w:link w:val="Char0"/>
    <w:uiPriority w:val="99"/>
    <w:semiHidden/>
    <w:qFormat/>
    <w:rsid w:val="004C716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C7165"/>
    <w:pPr>
      <w:widowControl/>
      <w:spacing w:before="100" w:beforeAutospacing="1" w:after="100" w:afterAutospacing="1"/>
      <w:jc w:val="left"/>
    </w:pPr>
    <w:rPr>
      <w:rFonts w:ascii="宋体" w:hAnsi="宋体" w:cs="宋体"/>
      <w:kern w:val="0"/>
      <w:sz w:val="18"/>
      <w:szCs w:val="18"/>
    </w:rPr>
  </w:style>
  <w:style w:type="character" w:styleId="a6">
    <w:name w:val="Hyperlink"/>
    <w:basedOn w:val="a0"/>
    <w:uiPriority w:val="99"/>
    <w:rsid w:val="004C7165"/>
    <w:rPr>
      <w:rFonts w:cs="Times New Roman"/>
      <w:color w:val="0000FF"/>
      <w:u w:val="single"/>
    </w:rPr>
  </w:style>
  <w:style w:type="table" w:styleId="a7">
    <w:name w:val="Table Grid"/>
    <w:basedOn w:val="a1"/>
    <w:uiPriority w:val="99"/>
    <w:qFormat/>
    <w:rsid w:val="004C71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4C7165"/>
    <w:rPr>
      <w:rFonts w:cs="Times New Roman"/>
      <w:sz w:val="18"/>
      <w:szCs w:val="18"/>
    </w:rPr>
  </w:style>
  <w:style w:type="character" w:customStyle="1" w:styleId="Char0">
    <w:name w:val="页眉 Char"/>
    <w:basedOn w:val="a0"/>
    <w:link w:val="a4"/>
    <w:uiPriority w:val="99"/>
    <w:semiHidden/>
    <w:qFormat/>
    <w:locked/>
    <w:rsid w:val="004C7165"/>
    <w:rPr>
      <w:rFonts w:cs="Times New Roman"/>
      <w:sz w:val="18"/>
      <w:szCs w:val="18"/>
    </w:rPr>
  </w:style>
  <w:style w:type="character" w:customStyle="1" w:styleId="apple-converted-space">
    <w:name w:val="apple-converted-space"/>
    <w:basedOn w:val="a0"/>
    <w:uiPriority w:val="99"/>
    <w:qFormat/>
    <w:rsid w:val="004C7165"/>
    <w:rPr>
      <w:rFonts w:cs="Times New Roman"/>
    </w:rPr>
  </w:style>
  <w:style w:type="character" w:customStyle="1" w:styleId="A30">
    <w:name w:val="A3"/>
    <w:uiPriority w:val="99"/>
    <w:qFormat/>
    <w:rsid w:val="004C7165"/>
    <w:rPr>
      <w:color w:val="000000"/>
      <w:sz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Iron+overload+induces+apoptosis+of+murine+preosteoblast+cells+via+ROS+and+inhibition+of+AKT+pathw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1082</Words>
  <Characters>6171</Characters>
  <Application>Microsoft Office Word</Application>
  <DocSecurity>0</DocSecurity>
  <Lines>51</Lines>
  <Paragraphs>14</Paragraphs>
  <ScaleCrop>false</ScaleCrop>
  <Company>Microsoft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2018年广东医学科技奖推荐项目公示表</dc:title>
  <dc:creator>AutoBVT</dc:creator>
  <cp:lastModifiedBy>HP</cp:lastModifiedBy>
  <cp:revision>8</cp:revision>
  <dcterms:created xsi:type="dcterms:W3CDTF">2018-11-20T09:20:00Z</dcterms:created>
  <dcterms:modified xsi:type="dcterms:W3CDTF">2018-11-30T05:01:00Z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